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9" w:rsidRPr="002E113C" w:rsidRDefault="008777A9" w:rsidP="008777A9">
      <w:pPr>
        <w:pStyle w:val="Naslov1"/>
        <w:jc w:val="both"/>
        <w:rPr>
          <w:rFonts w:cs="Arial"/>
          <w:sz w:val="22"/>
        </w:rPr>
      </w:pPr>
      <w:r>
        <w:rPr>
          <w:rFonts w:cs="Arial"/>
          <w:sz w:val="22"/>
        </w:rPr>
        <w:t>OSNOVNA ŠKOLA IVANA GORANA KOVAČIĆA</w:t>
      </w:r>
    </w:p>
    <w:p w:rsidR="008628CC" w:rsidRDefault="008777A9" w:rsidP="008777A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35420 STARO PETROVO SELO,</w:t>
      </w:r>
      <w:r w:rsidR="00827FAE">
        <w:rPr>
          <w:b/>
          <w:bCs/>
          <w:sz w:val="22"/>
        </w:rPr>
        <w:t xml:space="preserve"> MATIJE </w:t>
      </w:r>
      <w:r>
        <w:rPr>
          <w:b/>
          <w:bCs/>
          <w:sz w:val="22"/>
        </w:rPr>
        <w:t>GUPCA 29</w:t>
      </w:r>
    </w:p>
    <w:p w:rsidR="008777A9" w:rsidRPr="00D86F3C" w:rsidRDefault="008777A9" w:rsidP="008777A9">
      <w:pPr>
        <w:jc w:val="both"/>
        <w:rPr>
          <w:b/>
          <w:bCs/>
          <w:sz w:val="22"/>
        </w:rPr>
      </w:pPr>
      <w:r w:rsidRPr="00D86F3C">
        <w:rPr>
          <w:sz w:val="20"/>
          <w:szCs w:val="20"/>
        </w:rPr>
        <w:t xml:space="preserve">E-mail: </w:t>
      </w:r>
      <w:hyperlink r:id="rId8" w:history="1">
        <w:r w:rsidR="00827FAE" w:rsidRPr="009C081C">
          <w:rPr>
            <w:rStyle w:val="Hiperveza"/>
            <w:sz w:val="20"/>
            <w:szCs w:val="20"/>
          </w:rPr>
          <w:t>ured@os-igkovacic-staropetrovoselo.skole.hr</w:t>
        </w:r>
      </w:hyperlink>
      <w:r w:rsidR="008628CC">
        <w:t xml:space="preserve"> </w:t>
      </w:r>
      <w:r w:rsidRPr="00D86F3C">
        <w:rPr>
          <w:sz w:val="20"/>
          <w:szCs w:val="20"/>
        </w:rPr>
        <w:t>Telefon/fax:</w:t>
      </w:r>
      <w:r>
        <w:rPr>
          <w:rFonts w:ascii="Arial" w:hAnsi="Arial" w:cs="Arial"/>
          <w:b/>
          <w:sz w:val="22"/>
          <w:szCs w:val="22"/>
        </w:rPr>
        <w:t xml:space="preserve">035/387-060 ~ 035/387-066       </w:t>
      </w:r>
    </w:p>
    <w:p w:rsidR="008777A9" w:rsidRDefault="008777A9" w:rsidP="008777A9">
      <w:pPr>
        <w:jc w:val="both"/>
        <w:rPr>
          <w:rFonts w:ascii="Arial" w:hAnsi="Arial"/>
          <w:sz w:val="10"/>
        </w:rPr>
      </w:pPr>
      <w:r w:rsidRPr="009B5FA6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</w:p>
    <w:p w:rsidR="008777A9" w:rsidRPr="00B2613B" w:rsidRDefault="008777A9" w:rsidP="008777A9">
      <w:pPr>
        <w:jc w:val="both"/>
        <w:rPr>
          <w:rFonts w:ascii="Arial" w:hAnsi="Arial"/>
        </w:rPr>
      </w:pPr>
      <w:r w:rsidRPr="00D86F3C">
        <w:rPr>
          <w:sz w:val="20"/>
        </w:rPr>
        <w:t>Šifra škole</w:t>
      </w:r>
      <w:r>
        <w:rPr>
          <w:rFonts w:ascii="Arial" w:hAnsi="Arial"/>
        </w:rPr>
        <w:t xml:space="preserve">:   </w:t>
      </w:r>
      <w:r>
        <w:rPr>
          <w:rFonts w:ascii="Arial" w:hAnsi="Arial"/>
          <w:b/>
          <w:sz w:val="22"/>
        </w:rPr>
        <w:t>12-349-00</w:t>
      </w:r>
      <w:r w:rsidR="009846F8">
        <w:rPr>
          <w:rFonts w:ascii="Arial" w:hAnsi="Arial"/>
          <w:b/>
          <w:sz w:val="22"/>
        </w:rPr>
        <w:t>1</w:t>
      </w:r>
      <w:r w:rsidRPr="00D86F3C">
        <w:rPr>
          <w:sz w:val="22"/>
        </w:rPr>
        <w:t>Žiro račun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b/>
          <w:sz w:val="22"/>
          <w:szCs w:val="22"/>
        </w:rPr>
        <w:t>HR57</w:t>
      </w:r>
      <w:r w:rsidRPr="00EE4101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340</w:t>
      </w:r>
      <w:r w:rsidRPr="00EE4101">
        <w:rPr>
          <w:rFonts w:ascii="Arial" w:hAnsi="Arial"/>
          <w:b/>
          <w:sz w:val="22"/>
          <w:szCs w:val="22"/>
        </w:rPr>
        <w:t>0091800012004</w:t>
      </w:r>
      <w:r w:rsidRPr="00D86F3C">
        <w:rPr>
          <w:sz w:val="20"/>
          <w:szCs w:val="20"/>
        </w:rPr>
        <w:t>RKDP</w:t>
      </w:r>
      <w:r w:rsidRPr="00D86F3C">
        <w:rPr>
          <w:b/>
          <w:bCs/>
          <w:sz w:val="22"/>
        </w:rPr>
        <w:t>:</w:t>
      </w:r>
      <w:r>
        <w:rPr>
          <w:rFonts w:ascii="Arial" w:hAnsi="Arial"/>
          <w:b/>
          <w:bCs/>
          <w:sz w:val="22"/>
        </w:rPr>
        <w:t xml:space="preserve">   9337</w:t>
      </w:r>
      <w:r>
        <w:rPr>
          <w:rFonts w:ascii="Arial" w:hAnsi="Arial"/>
        </w:rPr>
        <w:tab/>
      </w:r>
      <w:r w:rsidR="00827FAE">
        <w:rPr>
          <w:sz w:val="22"/>
        </w:rPr>
        <w:t xml:space="preserve">Matični </w:t>
      </w:r>
      <w:r w:rsidRPr="00D86F3C">
        <w:rPr>
          <w:sz w:val="22"/>
        </w:rPr>
        <w:t>broj</w:t>
      </w:r>
      <w:r>
        <w:rPr>
          <w:rFonts w:ascii="Arial" w:hAnsi="Arial"/>
          <w:sz w:val="22"/>
        </w:rPr>
        <w:t xml:space="preserve">: </w:t>
      </w:r>
      <w:r w:rsidRPr="00B2613B">
        <w:rPr>
          <w:rFonts w:ascii="Arial" w:hAnsi="Arial"/>
          <w:b/>
          <w:sz w:val="22"/>
        </w:rPr>
        <w:t>03000427</w:t>
      </w:r>
      <w:r>
        <w:rPr>
          <w:rFonts w:ascii="Arial" w:hAnsi="Arial"/>
          <w:sz w:val="16"/>
        </w:rPr>
        <w:t xml:space="preserve">       OIB: </w:t>
      </w:r>
      <w:r>
        <w:rPr>
          <w:rFonts w:ascii="Arial" w:hAnsi="Arial"/>
          <w:b/>
          <w:sz w:val="22"/>
          <w:szCs w:val="22"/>
        </w:rPr>
        <w:t>90001186038</w:t>
      </w:r>
      <w:r w:rsidR="006466D9" w:rsidRPr="006466D9">
        <w:rPr>
          <w:rFonts w:ascii="Arial" w:hAnsi="Arial"/>
          <w:sz w:val="16"/>
        </w:rPr>
        <w:pict>
          <v:rect id="_x0000_i1025" style="width:0;height:1.5pt" o:hralign="right" o:hrstd="t" o:hr="t" fillcolor="gray" stroked="f"/>
        </w:pict>
      </w:r>
    </w:p>
    <w:p w:rsidR="008777A9" w:rsidRDefault="008777A9" w:rsidP="008777A9">
      <w:pPr>
        <w:jc w:val="both"/>
        <w:rPr>
          <w:rFonts w:ascii="Arial" w:hAnsi="Arial"/>
          <w:sz w:val="16"/>
        </w:rPr>
      </w:pPr>
    </w:p>
    <w:p w:rsidR="008777A9" w:rsidRDefault="008777A9" w:rsidP="008777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Staro Petrovo Selo, </w:t>
      </w:r>
      <w:r w:rsidR="008628CC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>.</w:t>
      </w:r>
      <w:r w:rsidR="007C07B4">
        <w:rPr>
          <w:rFonts w:ascii="Arial" w:hAnsi="Arial"/>
          <w:sz w:val="22"/>
        </w:rPr>
        <w:t>1</w:t>
      </w:r>
      <w:r w:rsidR="00941746">
        <w:rPr>
          <w:rFonts w:ascii="Arial" w:hAnsi="Arial"/>
          <w:sz w:val="22"/>
        </w:rPr>
        <w:t>2</w:t>
      </w:r>
      <w:r w:rsidR="005C1682">
        <w:rPr>
          <w:rFonts w:ascii="Arial" w:hAnsi="Arial"/>
          <w:sz w:val="22"/>
        </w:rPr>
        <w:t>.202</w:t>
      </w:r>
      <w:r w:rsidR="001E4F0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A0FC8">
      <w:pPr>
        <w:jc w:val="center"/>
        <w:rPr>
          <w:b/>
        </w:rPr>
      </w:pPr>
      <w:r w:rsidRPr="001F40F4">
        <w:rPr>
          <w:b/>
        </w:rPr>
        <w:t>OBRAZLOŽENJE</w:t>
      </w:r>
      <w:r>
        <w:rPr>
          <w:b/>
        </w:rPr>
        <w:t>FINANCIJSKOG</w:t>
      </w:r>
      <w:r w:rsidRPr="004118F0">
        <w:rPr>
          <w:b/>
        </w:rPr>
        <w:t xml:space="preserve"> PLAN</w:t>
      </w:r>
      <w:r>
        <w:rPr>
          <w:b/>
        </w:rPr>
        <w:t xml:space="preserve">A ZA </w:t>
      </w:r>
      <w:r w:rsidR="007C07B4">
        <w:rPr>
          <w:b/>
        </w:rPr>
        <w:t>202</w:t>
      </w:r>
      <w:r w:rsidR="001E4F08">
        <w:rPr>
          <w:b/>
        </w:rPr>
        <w:t>4</w:t>
      </w:r>
      <w:r>
        <w:rPr>
          <w:b/>
        </w:rPr>
        <w:t>. GODINU TE PROJEKCIJA</w:t>
      </w:r>
      <w:r w:rsidRPr="004118F0">
        <w:rPr>
          <w:b/>
        </w:rPr>
        <w:t xml:space="preserve"> ZA</w:t>
      </w:r>
    </w:p>
    <w:p w:rsidR="008777A9" w:rsidRDefault="005C1682" w:rsidP="008A0FC8">
      <w:pPr>
        <w:jc w:val="center"/>
        <w:rPr>
          <w:b/>
        </w:rPr>
      </w:pPr>
      <w:r>
        <w:rPr>
          <w:b/>
        </w:rPr>
        <w:t>202</w:t>
      </w:r>
      <w:r w:rsidR="001E4F08">
        <w:rPr>
          <w:b/>
        </w:rPr>
        <w:t>5</w:t>
      </w:r>
      <w:r w:rsidR="007C07B4">
        <w:rPr>
          <w:b/>
        </w:rPr>
        <w:t>. i 202</w:t>
      </w:r>
      <w:r w:rsidR="001E4F08">
        <w:rPr>
          <w:b/>
        </w:rPr>
        <w:t>6</w:t>
      </w:r>
      <w:r w:rsidR="008777A9">
        <w:rPr>
          <w:b/>
        </w:rPr>
        <w:t>. GODINU</w:t>
      </w:r>
    </w:p>
    <w:p w:rsidR="00A12646" w:rsidRPr="00A12646" w:rsidRDefault="00A12646" w:rsidP="008A0FC8">
      <w:pPr>
        <w:jc w:val="center"/>
        <w:rPr>
          <w:b/>
        </w:rPr>
      </w:pPr>
    </w:p>
    <w:p w:rsidR="00A12646" w:rsidRDefault="00A12646" w:rsidP="00A12646">
      <w:pPr>
        <w:jc w:val="both"/>
        <w:rPr>
          <w:rStyle w:val="A7"/>
          <w:i w:val="0"/>
          <w:sz w:val="24"/>
          <w:szCs w:val="24"/>
        </w:rPr>
      </w:pPr>
      <w:r w:rsidRPr="00A12646">
        <w:rPr>
          <w:rStyle w:val="A7"/>
          <w:i w:val="0"/>
          <w:sz w:val="24"/>
          <w:szCs w:val="24"/>
        </w:rPr>
        <w:t>Financijski plan akt je Osnovne škole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:rsidR="00A12646" w:rsidRDefault="00A12646" w:rsidP="00A12646">
      <w:pPr>
        <w:jc w:val="both"/>
        <w:rPr>
          <w:rStyle w:val="A7"/>
          <w:i w:val="0"/>
          <w:sz w:val="24"/>
          <w:szCs w:val="24"/>
        </w:rPr>
      </w:pPr>
    </w:p>
    <w:p w:rsidR="00C54A1C" w:rsidRDefault="00C54A1C" w:rsidP="00A12646">
      <w:pPr>
        <w:jc w:val="center"/>
        <w:rPr>
          <w:b/>
          <w:iCs/>
        </w:rPr>
      </w:pPr>
    </w:p>
    <w:p w:rsidR="00A12646" w:rsidRDefault="00A12646" w:rsidP="00A12646">
      <w:pPr>
        <w:jc w:val="center"/>
        <w:rPr>
          <w:b/>
          <w:iCs/>
        </w:rPr>
      </w:pPr>
      <w:r w:rsidRPr="00D27795">
        <w:rPr>
          <w:b/>
          <w:iCs/>
        </w:rPr>
        <w:t>OBRAZLOŽENJE OPĆEG DIJELA</w:t>
      </w:r>
    </w:p>
    <w:p w:rsidR="00D27795" w:rsidRDefault="00D27795" w:rsidP="00827FAE">
      <w:pPr>
        <w:jc w:val="both"/>
      </w:pPr>
    </w:p>
    <w:p w:rsidR="00D27795" w:rsidRPr="00827FAE" w:rsidRDefault="005C1682" w:rsidP="00827FAE">
      <w:pPr>
        <w:jc w:val="both"/>
        <w:rPr>
          <w:bCs/>
        </w:rPr>
      </w:pPr>
      <w:r>
        <w:rPr>
          <w:bCs/>
        </w:rPr>
        <w:t>Financijski plan za 202</w:t>
      </w:r>
      <w:r w:rsidR="001E4F08">
        <w:rPr>
          <w:bCs/>
        </w:rPr>
        <w:t>4</w:t>
      </w:r>
      <w:r w:rsidR="00D27795" w:rsidRPr="00827FAE">
        <w:rPr>
          <w:bCs/>
        </w:rPr>
        <w:t xml:space="preserve">. godinu planiran je u iznosu </w:t>
      </w:r>
      <w:r w:rsidR="00782DD2">
        <w:rPr>
          <w:bCs/>
        </w:rPr>
        <w:t>1</w:t>
      </w:r>
      <w:r w:rsidR="00D27795" w:rsidRPr="00827FAE">
        <w:rPr>
          <w:bCs/>
        </w:rPr>
        <w:t>.</w:t>
      </w:r>
      <w:r w:rsidR="00D91C78">
        <w:rPr>
          <w:bCs/>
        </w:rPr>
        <w:t>270</w:t>
      </w:r>
      <w:r w:rsidR="00D27795" w:rsidRPr="00827FAE">
        <w:rPr>
          <w:bCs/>
        </w:rPr>
        <w:t>.</w:t>
      </w:r>
      <w:r w:rsidR="00D91C78">
        <w:rPr>
          <w:bCs/>
        </w:rPr>
        <w:t>409</w:t>
      </w:r>
      <w:r w:rsidR="00D27795" w:rsidRPr="00827FAE">
        <w:rPr>
          <w:bCs/>
        </w:rPr>
        <w:t>,</w:t>
      </w:r>
      <w:r w:rsidR="00D91C78">
        <w:rPr>
          <w:bCs/>
        </w:rPr>
        <w:t xml:space="preserve">00 </w:t>
      </w:r>
      <w:r w:rsidR="00782DD2">
        <w:rPr>
          <w:bCs/>
        </w:rPr>
        <w:t>eura</w:t>
      </w:r>
      <w:r w:rsidR="00D27795" w:rsidRPr="00827FAE">
        <w:rPr>
          <w:bCs/>
        </w:rPr>
        <w:t xml:space="preserve"> (ukupni rashodi)  što je u odnosu na rebalans financijskog plana za 202</w:t>
      </w:r>
      <w:r w:rsidR="00782DD2">
        <w:rPr>
          <w:bCs/>
        </w:rPr>
        <w:t>2</w:t>
      </w:r>
      <w:r w:rsidR="00D27795" w:rsidRPr="00827FAE">
        <w:rPr>
          <w:bCs/>
        </w:rPr>
        <w:t xml:space="preserve">. godinu koji iznosi </w:t>
      </w:r>
      <w:r w:rsidR="00782DD2" w:rsidRPr="0027300B">
        <w:rPr>
          <w:bCs/>
          <w:u w:val="single"/>
        </w:rPr>
        <w:t>1</w:t>
      </w:r>
      <w:r w:rsidR="00D27795" w:rsidRPr="0027300B">
        <w:rPr>
          <w:bCs/>
          <w:u w:val="single"/>
        </w:rPr>
        <w:t>.</w:t>
      </w:r>
      <w:r w:rsidR="00782DD2" w:rsidRPr="0027300B">
        <w:rPr>
          <w:bCs/>
          <w:u w:val="single"/>
        </w:rPr>
        <w:t>004</w:t>
      </w:r>
      <w:r w:rsidR="00D27795" w:rsidRPr="0027300B">
        <w:rPr>
          <w:bCs/>
          <w:u w:val="single"/>
        </w:rPr>
        <w:t>.</w:t>
      </w:r>
      <w:r w:rsidR="00782DD2" w:rsidRPr="0027300B">
        <w:rPr>
          <w:bCs/>
          <w:u w:val="single"/>
        </w:rPr>
        <w:t>367</w:t>
      </w:r>
      <w:r w:rsidR="00D27795" w:rsidRPr="0027300B">
        <w:rPr>
          <w:bCs/>
          <w:u w:val="single"/>
        </w:rPr>
        <w:t>,</w:t>
      </w:r>
      <w:r w:rsidR="00782DD2" w:rsidRPr="0027300B">
        <w:rPr>
          <w:bCs/>
          <w:u w:val="single"/>
        </w:rPr>
        <w:t>91</w:t>
      </w:r>
      <w:r w:rsidR="00782DD2">
        <w:rPr>
          <w:bCs/>
        </w:rPr>
        <w:t xml:space="preserve"> eura,</w:t>
      </w:r>
      <w:r w:rsidR="00DB19FA">
        <w:rPr>
          <w:bCs/>
        </w:rPr>
        <w:t xml:space="preserve"> manj</w:t>
      </w:r>
      <w:r w:rsidR="00782DD2">
        <w:rPr>
          <w:bCs/>
        </w:rPr>
        <w:t>e</w:t>
      </w:r>
      <w:r w:rsidR="00D27795" w:rsidRPr="00827FAE">
        <w:rPr>
          <w:bCs/>
        </w:rPr>
        <w:t xml:space="preserve"> za</w:t>
      </w:r>
      <w:r w:rsidR="008628CC">
        <w:rPr>
          <w:bCs/>
        </w:rPr>
        <w:t xml:space="preserve"> </w:t>
      </w:r>
      <w:r w:rsidR="0099592F" w:rsidRPr="0027300B">
        <w:rPr>
          <w:bCs/>
          <w:u w:val="single"/>
        </w:rPr>
        <w:t>0</w:t>
      </w:r>
      <w:r w:rsidR="00D27795" w:rsidRPr="0027300B">
        <w:rPr>
          <w:bCs/>
          <w:u w:val="single"/>
        </w:rPr>
        <w:t>,</w:t>
      </w:r>
      <w:r w:rsidR="00782DD2" w:rsidRPr="0027300B">
        <w:rPr>
          <w:bCs/>
          <w:u w:val="single"/>
        </w:rPr>
        <w:t>35</w:t>
      </w:r>
      <w:r w:rsidR="00D27795" w:rsidRPr="00827FAE">
        <w:rPr>
          <w:bCs/>
        </w:rPr>
        <w:t xml:space="preserve"> % ili za </w:t>
      </w:r>
      <w:r w:rsidR="00782DD2">
        <w:rPr>
          <w:bCs/>
        </w:rPr>
        <w:t>3</w:t>
      </w:r>
      <w:r w:rsidR="00D27795" w:rsidRPr="00827FAE">
        <w:rPr>
          <w:bCs/>
        </w:rPr>
        <w:t>.</w:t>
      </w:r>
      <w:r w:rsidR="00782DD2">
        <w:rPr>
          <w:bCs/>
        </w:rPr>
        <w:t>5</w:t>
      </w:r>
      <w:r w:rsidR="00DB19FA">
        <w:rPr>
          <w:bCs/>
        </w:rPr>
        <w:t>5</w:t>
      </w:r>
      <w:r w:rsidR="00782DD2">
        <w:rPr>
          <w:bCs/>
        </w:rPr>
        <w:t>0</w:t>
      </w:r>
      <w:r w:rsidR="0099592F" w:rsidRPr="00827FAE">
        <w:rPr>
          <w:bCs/>
        </w:rPr>
        <w:t>,</w:t>
      </w:r>
      <w:r w:rsidR="00782DD2">
        <w:rPr>
          <w:bCs/>
        </w:rPr>
        <w:t>36eura</w:t>
      </w:r>
      <w:r w:rsidR="00D27795" w:rsidRPr="00827FAE">
        <w:rPr>
          <w:bCs/>
        </w:rPr>
        <w:t>.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Strukturu Prijedloga financijskog plana po osnovnoj klasifikaciji prihoda i rashoda čine: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poslovanja  </w:t>
      </w:r>
      <w:r w:rsidR="0082672E">
        <w:rPr>
          <w:bCs/>
        </w:rPr>
        <w:t>1.270</w:t>
      </w:r>
      <w:r w:rsidRPr="00827FAE">
        <w:rPr>
          <w:bCs/>
        </w:rPr>
        <w:t>.</w:t>
      </w:r>
      <w:r w:rsidR="007E33AD">
        <w:rPr>
          <w:bCs/>
        </w:rPr>
        <w:t>4</w:t>
      </w:r>
      <w:r w:rsidR="0082672E">
        <w:rPr>
          <w:bCs/>
        </w:rPr>
        <w:t>0</w:t>
      </w:r>
      <w:r w:rsidR="007E33AD">
        <w:rPr>
          <w:bCs/>
        </w:rPr>
        <w:t>9</w:t>
      </w:r>
      <w:r w:rsidRPr="00827FAE">
        <w:rPr>
          <w:bCs/>
        </w:rPr>
        <w:t>,</w:t>
      </w:r>
      <w:r w:rsidR="0082672E">
        <w:rPr>
          <w:bCs/>
        </w:rPr>
        <w:t>00</w:t>
      </w:r>
      <w:r w:rsidR="007E33AD">
        <w:rPr>
          <w:bCs/>
        </w:rPr>
        <w:t xml:space="preserve"> eura</w:t>
      </w:r>
      <w:r w:rsidRPr="00827FAE">
        <w:rPr>
          <w:bCs/>
        </w:rPr>
        <w:t>,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od prodaje nefinancijske </w:t>
      </w:r>
      <w:r w:rsidR="007E33AD">
        <w:rPr>
          <w:bCs/>
        </w:rPr>
        <w:t>imovine  0,00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poslovanja  </w:t>
      </w:r>
      <w:r w:rsidR="0082672E">
        <w:rPr>
          <w:bCs/>
        </w:rPr>
        <w:t>1.266</w:t>
      </w:r>
      <w:r w:rsidRPr="00827FAE">
        <w:rPr>
          <w:bCs/>
        </w:rPr>
        <w:t>.</w:t>
      </w:r>
      <w:r w:rsidR="0082672E">
        <w:rPr>
          <w:bCs/>
        </w:rPr>
        <w:t>244</w:t>
      </w:r>
      <w:r w:rsidRPr="00827FAE">
        <w:rPr>
          <w:bCs/>
        </w:rPr>
        <w:t>,</w:t>
      </w:r>
      <w:r w:rsidR="0082672E">
        <w:rPr>
          <w:bCs/>
        </w:rPr>
        <w:t>00</w:t>
      </w:r>
      <w:r w:rsidR="007E33AD">
        <w:rPr>
          <w:bCs/>
        </w:rPr>
        <w:t xml:space="preserve">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nabavu nefinancijske imovine  </w:t>
      </w:r>
      <w:r w:rsidR="007E33AD">
        <w:rPr>
          <w:bCs/>
        </w:rPr>
        <w:t>5</w:t>
      </w:r>
      <w:r w:rsidRPr="00827FAE">
        <w:rPr>
          <w:bCs/>
        </w:rPr>
        <w:t>.</w:t>
      </w:r>
      <w:r w:rsidR="007E33AD">
        <w:rPr>
          <w:bCs/>
        </w:rPr>
        <w:t>3</w:t>
      </w:r>
      <w:r w:rsidR="0082672E">
        <w:rPr>
          <w:bCs/>
        </w:rPr>
        <w:t>85</w:t>
      </w:r>
      <w:r w:rsidRPr="00827FAE">
        <w:rPr>
          <w:bCs/>
        </w:rPr>
        <w:t>,</w:t>
      </w:r>
      <w:r w:rsidR="0082672E">
        <w:rPr>
          <w:bCs/>
        </w:rPr>
        <w:t>0</w:t>
      </w:r>
      <w:r w:rsidR="007E33AD">
        <w:rPr>
          <w:bCs/>
        </w:rPr>
        <w:t>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raspoloživa sredstva iz prethodnih godina  </w:t>
      </w:r>
      <w:r w:rsidR="0082672E">
        <w:rPr>
          <w:bCs/>
        </w:rPr>
        <w:t>1</w:t>
      </w:r>
      <w:r w:rsidRPr="00827FAE">
        <w:rPr>
          <w:bCs/>
        </w:rPr>
        <w:t>.</w:t>
      </w:r>
      <w:r w:rsidR="0082672E">
        <w:rPr>
          <w:bCs/>
        </w:rPr>
        <w:t>200</w:t>
      </w:r>
      <w:r w:rsidRPr="00827FAE">
        <w:rPr>
          <w:bCs/>
        </w:rPr>
        <w:t>,0</w:t>
      </w:r>
      <w:r w:rsidR="0082672E">
        <w:rPr>
          <w:bCs/>
        </w:rPr>
        <w:t>0</w:t>
      </w:r>
      <w:r w:rsidR="007E33AD">
        <w:rPr>
          <w:bCs/>
        </w:rPr>
        <w:t xml:space="preserve"> eura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Dakle, ukupni prihodi iznose </w:t>
      </w:r>
      <w:r w:rsidR="0082672E">
        <w:rPr>
          <w:bCs/>
        </w:rPr>
        <w:t>1.270</w:t>
      </w:r>
      <w:r w:rsidRPr="00827FAE">
        <w:rPr>
          <w:bCs/>
        </w:rPr>
        <w:t>.</w:t>
      </w:r>
      <w:r w:rsidR="007E33AD">
        <w:rPr>
          <w:bCs/>
        </w:rPr>
        <w:t>4</w:t>
      </w:r>
      <w:r w:rsidR="0082672E">
        <w:rPr>
          <w:bCs/>
        </w:rPr>
        <w:t>0</w:t>
      </w:r>
      <w:r w:rsidR="007E33AD">
        <w:rPr>
          <w:bCs/>
        </w:rPr>
        <w:t>9</w:t>
      </w:r>
      <w:r w:rsidRPr="00827FAE">
        <w:rPr>
          <w:bCs/>
        </w:rPr>
        <w:t>,</w:t>
      </w:r>
      <w:r w:rsidR="0082672E">
        <w:rPr>
          <w:bCs/>
        </w:rPr>
        <w:t xml:space="preserve">00 </w:t>
      </w:r>
      <w:r w:rsidR="007E33AD">
        <w:rPr>
          <w:bCs/>
        </w:rPr>
        <w:t>eura</w:t>
      </w:r>
      <w:r w:rsidR="008628CC">
        <w:rPr>
          <w:bCs/>
        </w:rPr>
        <w:t xml:space="preserve"> </w:t>
      </w:r>
      <w:r w:rsidRPr="00827FAE">
        <w:rPr>
          <w:bCs/>
        </w:rPr>
        <w:t xml:space="preserve">što uvećano za višak prihoda iz prethodne godine u iznosu </w:t>
      </w:r>
      <w:r w:rsidR="0082672E">
        <w:rPr>
          <w:bCs/>
        </w:rPr>
        <w:t>1</w:t>
      </w:r>
      <w:r w:rsidRPr="00827FAE">
        <w:rPr>
          <w:bCs/>
        </w:rPr>
        <w:t>.</w:t>
      </w:r>
      <w:r w:rsidR="0082672E">
        <w:rPr>
          <w:bCs/>
        </w:rPr>
        <w:t>200</w:t>
      </w:r>
      <w:r w:rsidRPr="00827FAE">
        <w:rPr>
          <w:bCs/>
        </w:rPr>
        <w:t>,0</w:t>
      </w:r>
      <w:r w:rsidR="0082672E">
        <w:rPr>
          <w:bCs/>
        </w:rPr>
        <w:t xml:space="preserve">0 </w:t>
      </w:r>
      <w:r w:rsidR="007E33AD">
        <w:rPr>
          <w:bCs/>
        </w:rPr>
        <w:t>eura</w:t>
      </w:r>
      <w:r w:rsidRPr="00827FAE">
        <w:rPr>
          <w:bCs/>
        </w:rPr>
        <w:t xml:space="preserve"> čini ukupan iznos financijskog plana od </w:t>
      </w:r>
      <w:r w:rsidR="007E33AD">
        <w:rPr>
          <w:bCs/>
        </w:rPr>
        <w:t>1</w:t>
      </w:r>
      <w:r w:rsidRPr="00827FAE">
        <w:rPr>
          <w:bCs/>
        </w:rPr>
        <w:t>.</w:t>
      </w:r>
      <w:r w:rsidR="0082672E">
        <w:rPr>
          <w:bCs/>
        </w:rPr>
        <w:t>271</w:t>
      </w:r>
      <w:r w:rsidRPr="00827FAE">
        <w:rPr>
          <w:bCs/>
        </w:rPr>
        <w:t>.</w:t>
      </w:r>
      <w:r w:rsidR="0082672E">
        <w:rPr>
          <w:bCs/>
        </w:rPr>
        <w:t>609</w:t>
      </w:r>
      <w:r w:rsidRPr="00827FAE">
        <w:rPr>
          <w:bCs/>
        </w:rPr>
        <w:t xml:space="preserve">,00 </w:t>
      </w:r>
      <w:r w:rsidR="007E33AD">
        <w:rPr>
          <w:bCs/>
        </w:rPr>
        <w:t>eura</w:t>
      </w:r>
      <w:r w:rsidRPr="00827FAE">
        <w:rPr>
          <w:bCs/>
        </w:rPr>
        <w:t>.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Prema izvoru financiranja prihodi su planirani kako slijedi: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opći prihodi i primici </w:t>
      </w:r>
      <w:r w:rsidR="0082672E">
        <w:rPr>
          <w:bCs/>
        </w:rPr>
        <w:t>71</w:t>
      </w:r>
      <w:r w:rsidRPr="00827FAE">
        <w:rPr>
          <w:bCs/>
        </w:rPr>
        <w:t>.</w:t>
      </w:r>
      <w:r w:rsidR="0082672E">
        <w:rPr>
          <w:bCs/>
        </w:rPr>
        <w:t>219</w:t>
      </w:r>
      <w:r w:rsidRPr="00827FAE">
        <w:rPr>
          <w:bCs/>
        </w:rPr>
        <w:t>,</w:t>
      </w:r>
      <w:r w:rsidR="0082672E">
        <w:rPr>
          <w:bCs/>
        </w:rPr>
        <w:t>00</w:t>
      </w:r>
      <w:r w:rsidR="009B66AB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vlastiti prihodi </w:t>
      </w:r>
      <w:r w:rsidR="0082672E">
        <w:rPr>
          <w:bCs/>
        </w:rPr>
        <w:t>4</w:t>
      </w:r>
      <w:r w:rsidRPr="00827FAE">
        <w:rPr>
          <w:bCs/>
        </w:rPr>
        <w:t>.</w:t>
      </w:r>
      <w:r w:rsidR="0082672E">
        <w:rPr>
          <w:bCs/>
        </w:rPr>
        <w:t>000</w:t>
      </w:r>
      <w:r w:rsidRPr="00827FAE">
        <w:rPr>
          <w:bCs/>
        </w:rPr>
        <w:t>,</w:t>
      </w:r>
      <w:r w:rsidR="0082672E">
        <w:rPr>
          <w:bCs/>
        </w:rPr>
        <w:t>00</w:t>
      </w:r>
      <w:r w:rsidR="009B66AB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za posebne namjene </w:t>
      </w:r>
      <w:r w:rsidR="0082672E">
        <w:rPr>
          <w:bCs/>
        </w:rPr>
        <w:t>0,00</w:t>
      </w:r>
      <w:r w:rsidR="009B66AB">
        <w:rPr>
          <w:bCs/>
        </w:rPr>
        <w:t xml:space="preserve">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pomoći iz drugih proračuna </w:t>
      </w:r>
      <w:r w:rsidR="0082672E">
        <w:rPr>
          <w:bCs/>
        </w:rPr>
        <w:t>1.194</w:t>
      </w:r>
      <w:r w:rsidR="009B66AB">
        <w:rPr>
          <w:bCs/>
        </w:rPr>
        <w:t>.</w:t>
      </w:r>
      <w:r w:rsidR="0082672E">
        <w:rPr>
          <w:bCs/>
        </w:rPr>
        <w:t>790</w:t>
      </w:r>
      <w:r w:rsidRPr="00827FAE">
        <w:rPr>
          <w:bCs/>
        </w:rPr>
        <w:t>,</w:t>
      </w:r>
      <w:r w:rsidR="00433782">
        <w:rPr>
          <w:bCs/>
        </w:rPr>
        <w:t>00</w:t>
      </w:r>
      <w:r w:rsidR="009B66AB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donacije </w:t>
      </w:r>
      <w:r w:rsidR="00433782">
        <w:rPr>
          <w:bCs/>
        </w:rPr>
        <w:t>400</w:t>
      </w:r>
      <w:r w:rsidRPr="00827FAE">
        <w:rPr>
          <w:bCs/>
        </w:rPr>
        <w:t>,</w:t>
      </w:r>
      <w:r w:rsidR="00433782">
        <w:rPr>
          <w:bCs/>
        </w:rPr>
        <w:t>00</w:t>
      </w:r>
      <w:r w:rsidR="009B66AB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prihodi od prodaje nefinancijske imovine 0,00</w:t>
      </w:r>
      <w:r w:rsidR="009B66AB">
        <w:rPr>
          <w:bCs/>
        </w:rPr>
        <w:t xml:space="preserve"> eura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Višak prihoda iz prethodne godine u iznosu </w:t>
      </w:r>
      <w:r w:rsidR="00433782">
        <w:rPr>
          <w:bCs/>
        </w:rPr>
        <w:t>1</w:t>
      </w:r>
      <w:r w:rsidRPr="00827FAE">
        <w:rPr>
          <w:bCs/>
        </w:rPr>
        <w:t>.</w:t>
      </w:r>
      <w:r w:rsidR="00433782">
        <w:rPr>
          <w:bCs/>
        </w:rPr>
        <w:t>200</w:t>
      </w:r>
      <w:r w:rsidRPr="00827FAE">
        <w:rPr>
          <w:bCs/>
        </w:rPr>
        <w:t>,0</w:t>
      </w:r>
      <w:r w:rsidR="00433782">
        <w:rPr>
          <w:bCs/>
        </w:rPr>
        <w:t>0</w:t>
      </w:r>
      <w:r w:rsidRPr="00827FAE">
        <w:rPr>
          <w:bCs/>
        </w:rPr>
        <w:t xml:space="preserve"> kn po izvorima financiranja planiran je kako slijedi: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vlastiti prihodi </w:t>
      </w:r>
      <w:r w:rsidR="00433782">
        <w:rPr>
          <w:bCs/>
        </w:rPr>
        <w:t>1.200</w:t>
      </w:r>
      <w:r w:rsidRPr="00827FAE">
        <w:rPr>
          <w:bCs/>
        </w:rPr>
        <w:t>,</w:t>
      </w:r>
      <w:r w:rsidR="00433782">
        <w:rPr>
          <w:bCs/>
        </w:rPr>
        <w:t xml:space="preserve">00 </w:t>
      </w:r>
      <w:r w:rsidR="009B66AB">
        <w:rPr>
          <w:bCs/>
        </w:rPr>
        <w:t>eura</w:t>
      </w:r>
    </w:p>
    <w:p w:rsidR="00D27795" w:rsidRPr="00827FAE" w:rsidRDefault="009B66AB" w:rsidP="00827FAE">
      <w:pPr>
        <w:jc w:val="both"/>
        <w:rPr>
          <w:bCs/>
        </w:rPr>
      </w:pPr>
      <w:r>
        <w:rPr>
          <w:bCs/>
        </w:rPr>
        <w:t xml:space="preserve">prihodi za posebne namjene </w:t>
      </w:r>
      <w:r w:rsidR="00433782">
        <w:rPr>
          <w:bCs/>
        </w:rPr>
        <w:t>0</w:t>
      </w:r>
      <w:r w:rsidR="00D27795" w:rsidRPr="00827FAE">
        <w:rPr>
          <w:bCs/>
        </w:rPr>
        <w:t>,</w:t>
      </w:r>
      <w:r w:rsidR="00433782">
        <w:rPr>
          <w:bCs/>
        </w:rPr>
        <w:t xml:space="preserve">00 </w:t>
      </w:r>
      <w:r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po</w:t>
      </w:r>
      <w:r w:rsidR="009B66AB">
        <w:rPr>
          <w:bCs/>
        </w:rPr>
        <w:t>moći iz drugih proračuna 0,00 eura</w:t>
      </w:r>
    </w:p>
    <w:p w:rsidR="00202CDB" w:rsidRDefault="009B66AB" w:rsidP="00827FAE">
      <w:pPr>
        <w:jc w:val="both"/>
        <w:rPr>
          <w:bCs/>
        </w:rPr>
      </w:pPr>
      <w:r>
        <w:rPr>
          <w:bCs/>
        </w:rPr>
        <w:t>donacije 0,00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lastRenderedPageBreak/>
        <w:t xml:space="preserve">Rashodi su planirani u iznosu </w:t>
      </w:r>
      <w:r w:rsidR="00D01E4E">
        <w:rPr>
          <w:bCs/>
        </w:rPr>
        <w:t>1</w:t>
      </w:r>
      <w:r w:rsidRPr="00827FAE">
        <w:rPr>
          <w:bCs/>
        </w:rPr>
        <w:t>.</w:t>
      </w:r>
      <w:r w:rsidR="00433782">
        <w:rPr>
          <w:bCs/>
        </w:rPr>
        <w:t>271</w:t>
      </w:r>
      <w:r w:rsidRPr="00827FAE">
        <w:rPr>
          <w:bCs/>
        </w:rPr>
        <w:t>.</w:t>
      </w:r>
      <w:r w:rsidR="00433782">
        <w:rPr>
          <w:bCs/>
        </w:rPr>
        <w:t>609</w:t>
      </w:r>
      <w:r w:rsidR="00D01E4E">
        <w:rPr>
          <w:bCs/>
        </w:rPr>
        <w:t>,</w:t>
      </w:r>
      <w:r w:rsidR="00433782">
        <w:rPr>
          <w:bCs/>
        </w:rPr>
        <w:t xml:space="preserve">00 </w:t>
      </w:r>
      <w:r w:rsidR="00D01E4E">
        <w:rPr>
          <w:bCs/>
        </w:rPr>
        <w:t>eura</w:t>
      </w:r>
      <w:r w:rsidRPr="00827FAE">
        <w:rPr>
          <w:bCs/>
        </w:rPr>
        <w:t>, a u strukturi rashoda najznačajniji su rashodi za za</w:t>
      </w:r>
      <w:r w:rsidR="006B1D17" w:rsidRPr="00827FAE">
        <w:rPr>
          <w:bCs/>
        </w:rPr>
        <w:t>poslene koji parti</w:t>
      </w:r>
      <w:r w:rsidR="00433782">
        <w:rPr>
          <w:bCs/>
        </w:rPr>
        <w:t>cipiraju sa 84,6</w:t>
      </w:r>
      <w:r w:rsidR="00686D27">
        <w:rPr>
          <w:bCs/>
        </w:rPr>
        <w:t>1</w:t>
      </w:r>
      <w:r w:rsidRPr="00827FAE">
        <w:rPr>
          <w:bCs/>
        </w:rPr>
        <w:t>%. Materijalni rashodi čine 1</w:t>
      </w:r>
      <w:r w:rsidR="00433782">
        <w:rPr>
          <w:bCs/>
        </w:rPr>
        <w:t>2</w:t>
      </w:r>
      <w:r w:rsidRPr="00827FAE">
        <w:rPr>
          <w:bCs/>
        </w:rPr>
        <w:t>,</w:t>
      </w:r>
      <w:r w:rsidR="00433782">
        <w:rPr>
          <w:bCs/>
        </w:rPr>
        <w:t>76</w:t>
      </w:r>
      <w:r w:rsidRPr="00827FAE">
        <w:rPr>
          <w:bCs/>
        </w:rPr>
        <w:t>%,</w:t>
      </w:r>
      <w:r w:rsidR="00590404" w:rsidRPr="00827FAE">
        <w:rPr>
          <w:bCs/>
        </w:rPr>
        <w:t xml:space="preserve"> naknade građanima i kućanstvima </w:t>
      </w:r>
      <w:r w:rsidR="008442FE">
        <w:rPr>
          <w:bCs/>
        </w:rPr>
        <w:t>2</w:t>
      </w:r>
      <w:r w:rsidR="00590404" w:rsidRPr="00827FAE">
        <w:rPr>
          <w:bCs/>
        </w:rPr>
        <w:t>,</w:t>
      </w:r>
      <w:r w:rsidR="00433782">
        <w:rPr>
          <w:bCs/>
        </w:rPr>
        <w:t>20</w:t>
      </w:r>
      <w:r w:rsidR="00590404" w:rsidRPr="00827FAE">
        <w:rPr>
          <w:bCs/>
        </w:rPr>
        <w:t xml:space="preserve">%, </w:t>
      </w:r>
      <w:r w:rsidRPr="00827FAE">
        <w:rPr>
          <w:bCs/>
        </w:rPr>
        <w:t xml:space="preserve"> rashodi za nabavu nefinancijske imovine 0,</w:t>
      </w:r>
      <w:r w:rsidR="00686D27">
        <w:rPr>
          <w:bCs/>
        </w:rPr>
        <w:t>42</w:t>
      </w:r>
      <w:r w:rsidRPr="00827FAE">
        <w:rPr>
          <w:bCs/>
        </w:rPr>
        <w:t>% te financijski rashodi 0,</w:t>
      </w:r>
      <w:r w:rsidR="00D01E4E">
        <w:rPr>
          <w:bCs/>
        </w:rPr>
        <w:t>0</w:t>
      </w:r>
      <w:r w:rsidR="00686D27">
        <w:rPr>
          <w:bCs/>
        </w:rPr>
        <w:t>09</w:t>
      </w:r>
      <w:r w:rsidRPr="00827FAE">
        <w:rPr>
          <w:bCs/>
        </w:rPr>
        <w:t>%.: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zaposlene </w:t>
      </w:r>
      <w:r w:rsidR="00686D27">
        <w:rPr>
          <w:bCs/>
        </w:rPr>
        <w:t>1.</w:t>
      </w:r>
      <w:r w:rsidR="008C1966">
        <w:rPr>
          <w:bCs/>
        </w:rPr>
        <w:t>075</w:t>
      </w:r>
      <w:r w:rsidRPr="00827FAE">
        <w:rPr>
          <w:bCs/>
        </w:rPr>
        <w:t>.</w:t>
      </w:r>
      <w:r w:rsidR="008C1966">
        <w:rPr>
          <w:bCs/>
        </w:rPr>
        <w:t>90</w:t>
      </w:r>
      <w:r w:rsidRPr="00827FAE">
        <w:rPr>
          <w:bCs/>
        </w:rPr>
        <w:t>,</w:t>
      </w:r>
      <w:r w:rsidR="008C1966">
        <w:rPr>
          <w:bCs/>
        </w:rPr>
        <w:t>00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materijalni rashodi </w:t>
      </w:r>
      <w:r w:rsidR="00D01E4E">
        <w:rPr>
          <w:bCs/>
        </w:rPr>
        <w:t>1</w:t>
      </w:r>
      <w:r w:rsidR="008C1966">
        <w:rPr>
          <w:bCs/>
        </w:rPr>
        <w:t>62</w:t>
      </w:r>
      <w:r w:rsidRPr="00827FAE">
        <w:rPr>
          <w:bCs/>
        </w:rPr>
        <w:t>.</w:t>
      </w:r>
      <w:r w:rsidR="008C1966">
        <w:rPr>
          <w:bCs/>
        </w:rPr>
        <w:t>218</w:t>
      </w:r>
      <w:r w:rsidRPr="00827FAE">
        <w:rPr>
          <w:bCs/>
        </w:rPr>
        <w:t>,</w:t>
      </w:r>
      <w:r w:rsidR="008C1966">
        <w:rPr>
          <w:bCs/>
        </w:rPr>
        <w:t xml:space="preserve">00 </w:t>
      </w:r>
      <w:r w:rsidR="00D01E4E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financijski rashodi </w:t>
      </w:r>
      <w:r w:rsidR="008C1966">
        <w:rPr>
          <w:bCs/>
        </w:rPr>
        <w:t>105</w:t>
      </w:r>
      <w:r w:rsidRPr="00827FAE">
        <w:rPr>
          <w:bCs/>
        </w:rPr>
        <w:t>,</w:t>
      </w:r>
      <w:r w:rsidR="008C1966">
        <w:rPr>
          <w:bCs/>
        </w:rPr>
        <w:t xml:space="preserve">00 </w:t>
      </w:r>
      <w:r w:rsidR="00D01E4E">
        <w:rPr>
          <w:bCs/>
        </w:rPr>
        <w:t>eura</w:t>
      </w:r>
    </w:p>
    <w:p w:rsidR="00E67A54" w:rsidRPr="00827FAE" w:rsidRDefault="00E67A54" w:rsidP="00827FAE">
      <w:pPr>
        <w:jc w:val="both"/>
        <w:rPr>
          <w:bCs/>
        </w:rPr>
      </w:pPr>
      <w:r w:rsidRPr="00827FAE">
        <w:rPr>
          <w:bCs/>
        </w:rPr>
        <w:t xml:space="preserve">naknade građanima i kućanstvima </w:t>
      </w:r>
      <w:r w:rsidR="00D01E4E">
        <w:rPr>
          <w:bCs/>
        </w:rPr>
        <w:t>2</w:t>
      </w:r>
      <w:r w:rsidR="008C1966">
        <w:rPr>
          <w:bCs/>
        </w:rPr>
        <w:t>8</w:t>
      </w:r>
      <w:r w:rsidRPr="00827FAE">
        <w:rPr>
          <w:bCs/>
        </w:rPr>
        <w:t>.</w:t>
      </w:r>
      <w:r w:rsidR="008C1966">
        <w:rPr>
          <w:bCs/>
        </w:rPr>
        <w:t>000</w:t>
      </w:r>
      <w:r w:rsidR="00D01E4E">
        <w:rPr>
          <w:bCs/>
        </w:rPr>
        <w:t>,</w:t>
      </w:r>
      <w:r w:rsidR="008C1966">
        <w:rPr>
          <w:bCs/>
        </w:rPr>
        <w:t xml:space="preserve">00 </w:t>
      </w:r>
      <w:r w:rsidR="00D01E4E">
        <w:rPr>
          <w:bCs/>
        </w:rPr>
        <w:t>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nabavu nefinancijske imovine </w:t>
      </w:r>
      <w:r w:rsidR="00D01E4E">
        <w:rPr>
          <w:bCs/>
        </w:rPr>
        <w:t>5</w:t>
      </w:r>
      <w:r w:rsidRPr="00827FAE">
        <w:rPr>
          <w:bCs/>
        </w:rPr>
        <w:t>.</w:t>
      </w:r>
      <w:r w:rsidR="00D01E4E">
        <w:rPr>
          <w:bCs/>
        </w:rPr>
        <w:t>38</w:t>
      </w:r>
      <w:r w:rsidR="008C1966">
        <w:rPr>
          <w:bCs/>
        </w:rPr>
        <w:t>5</w:t>
      </w:r>
      <w:r w:rsidRPr="00827FAE">
        <w:rPr>
          <w:bCs/>
        </w:rPr>
        <w:t>,</w:t>
      </w:r>
      <w:r w:rsidR="008C1966">
        <w:rPr>
          <w:bCs/>
        </w:rPr>
        <w:t>0</w:t>
      </w:r>
      <w:r w:rsidRPr="00827FAE">
        <w:rPr>
          <w:bCs/>
        </w:rPr>
        <w:t>0 kn</w:t>
      </w:r>
    </w:p>
    <w:p w:rsidR="00D27795" w:rsidRPr="00827FAE" w:rsidRDefault="00D27795" w:rsidP="00827FAE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>
        <w:rPr>
          <w:b/>
        </w:rPr>
        <w:t>1.</w:t>
      </w:r>
      <w:r w:rsidRPr="001F40F4">
        <w:rPr>
          <w:b/>
        </w:rPr>
        <w:t>Sažetak djelokruga rada proračunskog korisnika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</w:pPr>
      <w:r>
        <w:t>Osnovna škola Ivana Gorana Kovačića Staro Petrovo Selo obavlja javnu djelatnost sukladno Zakonu o odgoju i obrazovanju u osnovnoj i srednjoj školi. Uz matičnu školu imamo i 4 područna odjela: Godinjak, Tisovac, Crnogovci i Štivica. U matičnoj školi uz zgradu škole imamo i sportsku dvoranu. Nastava je organizirana u jutarnjoj i popodnevnoj smjeni, u petodnevnom radnom tjednu sa slobodnim subotama. Nastava ( redovna, izborna, dopunska, dodatna</w:t>
      </w:r>
      <w:r w:rsidR="00677A14">
        <w:t xml:space="preserve"> i izvannastavne aktivnosti</w:t>
      </w:r>
      <w:r>
        <w:t xml:space="preserve"> ) se izvodi prema nastavnim planovima i programima koje je donijelo Ministarstvo znanosti i obrazovanja  kao i  Godišnjem planu i programu rada škole i Školskom kurikulumu.</w:t>
      </w:r>
    </w:p>
    <w:p w:rsidR="00677A14" w:rsidRDefault="00B72384" w:rsidP="00677A14">
      <w:pPr>
        <w:jc w:val="both"/>
      </w:pPr>
      <w:r>
        <w:t>Školu pohađa 219 učenika u 20</w:t>
      </w:r>
      <w:r w:rsidR="00677A14">
        <w:t xml:space="preserve"> razrednih odjela. U matičnoj školi su 4 odjela razredne i 8 od</w:t>
      </w:r>
      <w:r w:rsidR="002D620B">
        <w:t>jela predmetne nastave. Područna škola</w:t>
      </w:r>
      <w:r w:rsidR="00677A14">
        <w:t xml:space="preserve"> u Godinjaku</w:t>
      </w:r>
      <w:r w:rsidR="008628CC">
        <w:t xml:space="preserve"> </w:t>
      </w:r>
      <w:r w:rsidR="002D620B">
        <w:t>ima 1 čisti i 2 kombinirana razredna odjela,</w:t>
      </w:r>
      <w:r w:rsidR="00AF06BD">
        <w:t xml:space="preserve"> </w:t>
      </w:r>
      <w:r w:rsidR="002D620B">
        <w:t>Donji Crnogovci</w:t>
      </w:r>
      <w:r>
        <w:t xml:space="preserve"> i Tisovac imaju po </w:t>
      </w:r>
      <w:r w:rsidR="002D620B">
        <w:t xml:space="preserve"> 2 </w:t>
      </w:r>
      <w:r>
        <w:t>kombinirana odjela, dok područna škola</w:t>
      </w:r>
      <w:r w:rsidR="002D620B">
        <w:t xml:space="preserve"> u </w:t>
      </w:r>
      <w:r>
        <w:t>Štivici  ima po jedan kombinirani odjel od 3</w:t>
      </w:r>
      <w:r w:rsidR="002D620B">
        <w:t xml:space="preserve"> razreda.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stalnim usavršavanjem učitelja (s</w:t>
      </w:r>
      <w:r w:rsidR="00B72384">
        <w:t>eminari, stručni skupovi, stručna vijeća</w:t>
      </w:r>
      <w:r>
        <w:t>, te on-line stručno usavršavanje) i podizanjem nastavnog standarda na višu razinu;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poticanjem učenika na izražavanje kreativnosti, talenata i sposobnosti kroz uključivanje u izvannastavne aktivnosti, natjecanja, prijave na literarne i likovne natječaje, školske projekte, priredbe i manifestacije u školi i šire.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organiziranjem zajedničkih aktivnosti učenika i učitelja tijekom izvannastavnih aktivnosti i druženja kroz kolektivno upoznavanje kulturne i duhovne baštine;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poticanjem razvoja pozitivnih vrijednosti</w:t>
      </w:r>
    </w:p>
    <w:p w:rsidR="008777A9" w:rsidRDefault="008777A9" w:rsidP="008777A9">
      <w:pPr>
        <w:jc w:val="both"/>
      </w:pPr>
    </w:p>
    <w:p w:rsidR="00523399" w:rsidRDefault="00523399" w:rsidP="00523399">
      <w:pPr>
        <w:jc w:val="both"/>
        <w:rPr>
          <w:b/>
        </w:rPr>
      </w:pPr>
      <w:r w:rsidRPr="0078216C">
        <w:rPr>
          <w:b/>
        </w:rPr>
        <w:t>2.Obrazloženje programa rada školske ustanove</w:t>
      </w:r>
    </w:p>
    <w:p w:rsidR="008777A9" w:rsidRDefault="008777A9" w:rsidP="008777A9">
      <w:pPr>
        <w:jc w:val="both"/>
      </w:pPr>
    </w:p>
    <w:p w:rsidR="00523399" w:rsidRDefault="00523399" w:rsidP="008777A9">
      <w:pPr>
        <w:jc w:val="both"/>
      </w:pPr>
      <w:r>
        <w:t xml:space="preserve">Naziv programa: </w:t>
      </w:r>
      <w:r w:rsidR="000D4752">
        <w:t>6000 Odgoj i obrazovanje</w:t>
      </w:r>
    </w:p>
    <w:p w:rsidR="000D4752" w:rsidRDefault="000D4752" w:rsidP="008777A9">
      <w:pPr>
        <w:jc w:val="both"/>
      </w:pPr>
      <w:r>
        <w:t>Opći i posebni ciljevi: Izvedba obveznog školovanja u osnovnoj školi i poboljšanje kvalitete</w:t>
      </w:r>
    </w:p>
    <w:p w:rsidR="000D4752" w:rsidRDefault="000D4752" w:rsidP="008777A9">
      <w:pPr>
        <w:jc w:val="both"/>
      </w:pPr>
      <w:r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0D4752" w:rsidRPr="000D4752" w:rsidTr="00682D16">
        <w:trPr>
          <w:trHeight w:val="516"/>
        </w:trPr>
        <w:tc>
          <w:tcPr>
            <w:tcW w:w="2088" w:type="dxa"/>
            <w:hideMark/>
          </w:tcPr>
          <w:p w:rsidR="000D4752" w:rsidRPr="000D4752" w:rsidRDefault="000D4752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0D4752" w:rsidRDefault="00C843F5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0D4752" w:rsidRPr="000D4752" w:rsidRDefault="00C843F5" w:rsidP="00C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44B9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0D4752" w:rsidRPr="000D4752" w:rsidRDefault="00C843F5" w:rsidP="00C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44B9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0D4752" w:rsidRPr="000D4752" w:rsidRDefault="00C843F5" w:rsidP="00C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44B9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</w:tr>
      <w:tr w:rsidR="00D01E4E" w:rsidRPr="000D4752" w:rsidTr="00682D16">
        <w:trPr>
          <w:trHeight w:val="516"/>
        </w:trPr>
        <w:tc>
          <w:tcPr>
            <w:tcW w:w="2088" w:type="dxa"/>
            <w:hideMark/>
          </w:tcPr>
          <w:p w:rsidR="00D01E4E" w:rsidRPr="000D4752" w:rsidRDefault="00D01E4E" w:rsidP="000D4752">
            <w:pPr>
              <w:jc w:val="both"/>
              <w:rPr>
                <w:b/>
                <w:bCs/>
              </w:rPr>
            </w:pPr>
            <w:r w:rsidRPr="000D4752">
              <w:rPr>
                <w:b/>
                <w:bCs/>
              </w:rPr>
              <w:t>Aktivnost A600002 Osnovno školstvo</w:t>
            </w:r>
            <w:r>
              <w:rPr>
                <w:b/>
                <w:bCs/>
              </w:rPr>
              <w:t>, decentralizirana sredstva</w:t>
            </w:r>
          </w:p>
        </w:tc>
        <w:tc>
          <w:tcPr>
            <w:tcW w:w="2088" w:type="dxa"/>
          </w:tcPr>
          <w:p w:rsidR="00D01E4E" w:rsidRPr="000D4752" w:rsidRDefault="00D01E4E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2118" w:type="dxa"/>
            <w:hideMark/>
          </w:tcPr>
          <w:p w:rsidR="00D01E4E" w:rsidRPr="000D4752" w:rsidRDefault="00CF44B9" w:rsidP="00CF44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01E4E" w:rsidRPr="000D4752">
              <w:rPr>
                <w:b/>
                <w:bCs/>
              </w:rPr>
              <w:t>.</w:t>
            </w:r>
            <w:r w:rsidR="00D01E4E">
              <w:rPr>
                <w:b/>
                <w:bCs/>
              </w:rPr>
              <w:t>949</w:t>
            </w:r>
            <w:r w:rsidR="00D01E4E"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13" w:type="dxa"/>
            <w:hideMark/>
          </w:tcPr>
          <w:p w:rsidR="00D01E4E" w:rsidRPr="000D4752" w:rsidRDefault="00CF44B9" w:rsidP="00CF44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01E4E" w:rsidRPr="000D4752">
              <w:rPr>
                <w:b/>
                <w:bCs/>
              </w:rPr>
              <w:t>.</w:t>
            </w:r>
            <w:r w:rsidR="00D01E4E">
              <w:rPr>
                <w:b/>
                <w:bCs/>
              </w:rPr>
              <w:t>949</w:t>
            </w:r>
            <w:r w:rsidR="00D01E4E"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60" w:type="dxa"/>
            <w:hideMark/>
          </w:tcPr>
          <w:p w:rsidR="00D01E4E" w:rsidRPr="000D4752" w:rsidRDefault="00CF44B9" w:rsidP="00CF44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01E4E" w:rsidRPr="000D4752">
              <w:rPr>
                <w:b/>
                <w:bCs/>
              </w:rPr>
              <w:t>.</w:t>
            </w:r>
            <w:r w:rsidR="00D01E4E">
              <w:rPr>
                <w:b/>
                <w:bCs/>
              </w:rPr>
              <w:t>949</w:t>
            </w:r>
            <w:r w:rsidR="00D01E4E"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</w:tbl>
    <w:p w:rsidR="000D4752" w:rsidRDefault="000D4752" w:rsidP="008777A9">
      <w:pPr>
        <w:jc w:val="both"/>
      </w:pPr>
    </w:p>
    <w:p w:rsidR="00C843F5" w:rsidRDefault="00C843F5" w:rsidP="008777A9">
      <w:pPr>
        <w:jc w:val="both"/>
      </w:pPr>
      <w:r>
        <w:t>Financiranje naknada troškova zaposlenima, rashoda materijala i energije, rashodi za usluge, financijski rashodi i ostali nespomenuti rashodi poslovanja.</w:t>
      </w:r>
    </w:p>
    <w:p w:rsidR="00C843F5" w:rsidRDefault="00C843F5" w:rsidP="008777A9">
      <w:pPr>
        <w:jc w:val="both"/>
      </w:pPr>
    </w:p>
    <w:p w:rsidR="00C843F5" w:rsidRDefault="00180E0D" w:rsidP="00C843F5">
      <w:pPr>
        <w:jc w:val="both"/>
      </w:pPr>
      <w:r>
        <w:t xml:space="preserve">Naziv programa: </w:t>
      </w:r>
      <w:r w:rsidR="00C843F5">
        <w:t>6000 Odgoj i obrazovanje, dodatne potrebe u osnovnom školstvu</w:t>
      </w:r>
    </w:p>
    <w:p w:rsidR="00C843F5" w:rsidRDefault="00C843F5" w:rsidP="00C843F5">
      <w:pPr>
        <w:jc w:val="both"/>
      </w:pPr>
      <w:r>
        <w:t>Opći i posebni ciljevi: Stvaranje novih i poboljšanje postojećih dodatnih programa u osnovnom školstvu</w:t>
      </w:r>
    </w:p>
    <w:p w:rsidR="00C843F5" w:rsidRDefault="00C843F5" w:rsidP="00C843F5">
      <w:pPr>
        <w:jc w:val="both"/>
      </w:pPr>
      <w:r>
        <w:lastRenderedPageBreak/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C843F5" w:rsidRPr="000D4752" w:rsidTr="00001E6A">
        <w:trPr>
          <w:trHeight w:val="516"/>
        </w:trPr>
        <w:tc>
          <w:tcPr>
            <w:tcW w:w="2088" w:type="dxa"/>
            <w:hideMark/>
          </w:tcPr>
          <w:p w:rsidR="00C843F5" w:rsidRPr="00301E2C" w:rsidRDefault="00C843F5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C843F5" w:rsidRPr="00301E2C" w:rsidRDefault="00C843F5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C843F5" w:rsidRPr="00301E2C" w:rsidRDefault="00C843F5" w:rsidP="0007072A">
            <w:pPr>
              <w:jc w:val="center"/>
              <w:rPr>
                <w:b/>
                <w:bCs/>
              </w:rPr>
            </w:pPr>
            <w:r w:rsidRPr="00301E2C">
              <w:rPr>
                <w:b/>
                <w:bCs/>
              </w:rPr>
              <w:t>202</w:t>
            </w:r>
            <w:r w:rsidR="0007072A">
              <w:rPr>
                <w:b/>
                <w:bCs/>
              </w:rPr>
              <w:t>4</w:t>
            </w:r>
            <w:r w:rsidRPr="00301E2C"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C843F5" w:rsidRPr="00301E2C" w:rsidRDefault="0007072A" w:rsidP="00180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843F5" w:rsidRPr="00301E2C"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C843F5" w:rsidRPr="00301E2C" w:rsidRDefault="00C843F5" w:rsidP="0007072A">
            <w:pPr>
              <w:jc w:val="center"/>
              <w:rPr>
                <w:b/>
                <w:bCs/>
              </w:rPr>
            </w:pPr>
            <w:r w:rsidRPr="00301E2C">
              <w:rPr>
                <w:b/>
                <w:bCs/>
              </w:rPr>
              <w:t>202</w:t>
            </w:r>
            <w:r w:rsidR="0007072A">
              <w:rPr>
                <w:b/>
                <w:bCs/>
              </w:rPr>
              <w:t>6</w:t>
            </w:r>
            <w:r w:rsidRPr="00301E2C">
              <w:rPr>
                <w:b/>
                <w:bCs/>
              </w:rPr>
              <w:t>.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A600006 Financiranje iznad minimalnog standarda</w:t>
            </w:r>
          </w:p>
        </w:tc>
        <w:tc>
          <w:tcPr>
            <w:tcW w:w="2088" w:type="dxa"/>
          </w:tcPr>
          <w:p w:rsidR="00180E0D" w:rsidRPr="00301E2C" w:rsidRDefault="00180E0D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Materijalni rashodi i nabava nefinancijske imovine</w:t>
            </w:r>
          </w:p>
        </w:tc>
        <w:tc>
          <w:tcPr>
            <w:tcW w:w="2118" w:type="dxa"/>
            <w:hideMark/>
          </w:tcPr>
          <w:p w:rsidR="00180E0D" w:rsidRPr="00301E2C" w:rsidRDefault="00FD3CBB" w:rsidP="00FD3CBB">
            <w:pPr>
              <w:tabs>
                <w:tab w:val="center" w:pos="951"/>
                <w:tab w:val="right" w:pos="19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  <w:t>37</w:t>
            </w:r>
            <w:r w:rsidR="00180E0D">
              <w:rPr>
                <w:b/>
                <w:bCs/>
              </w:rPr>
              <w:t>.</w:t>
            </w:r>
            <w:r>
              <w:rPr>
                <w:b/>
                <w:bCs/>
              </w:rPr>
              <w:t>550</w:t>
            </w:r>
            <w:r w:rsidR="00180E0D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13" w:type="dxa"/>
            <w:hideMark/>
          </w:tcPr>
          <w:p w:rsidR="00180E0D" w:rsidRDefault="00FD3CBB" w:rsidP="00FD3CBB">
            <w:pPr>
              <w:jc w:val="right"/>
            </w:pPr>
            <w:r>
              <w:rPr>
                <w:b/>
                <w:bCs/>
              </w:rPr>
              <w:t>37</w:t>
            </w:r>
            <w:r w:rsidR="00180E0D" w:rsidRPr="0091286C">
              <w:rPr>
                <w:b/>
                <w:bCs/>
              </w:rPr>
              <w:t>.</w:t>
            </w:r>
            <w:r>
              <w:rPr>
                <w:b/>
                <w:bCs/>
              </w:rPr>
              <w:t>550</w:t>
            </w:r>
            <w:r w:rsidR="00180E0D" w:rsidRPr="0091286C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60" w:type="dxa"/>
            <w:hideMark/>
          </w:tcPr>
          <w:p w:rsidR="00180E0D" w:rsidRDefault="00FD3CBB" w:rsidP="00FD3CBB">
            <w:pPr>
              <w:jc w:val="right"/>
            </w:pPr>
            <w:r>
              <w:rPr>
                <w:b/>
                <w:bCs/>
              </w:rPr>
              <w:t>37</w:t>
            </w:r>
            <w:r w:rsidR="00180E0D" w:rsidRPr="0091286C">
              <w:rPr>
                <w:b/>
                <w:bCs/>
              </w:rPr>
              <w:t>.</w:t>
            </w:r>
            <w:r>
              <w:rPr>
                <w:b/>
                <w:bCs/>
              </w:rPr>
              <w:t>550</w:t>
            </w:r>
            <w:r w:rsidR="00180E0D" w:rsidRPr="0091286C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3.1. VLASTITI PRIHODI- PK</w:t>
            </w:r>
          </w:p>
        </w:tc>
        <w:tc>
          <w:tcPr>
            <w:tcW w:w="2118" w:type="dxa"/>
            <w:hideMark/>
          </w:tcPr>
          <w:p w:rsidR="00180E0D" w:rsidRPr="00301E2C" w:rsidRDefault="0007072A" w:rsidP="000707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3" w:type="dxa"/>
            <w:hideMark/>
          </w:tcPr>
          <w:p w:rsidR="00180E0D" w:rsidRPr="00301E2C" w:rsidRDefault="0007072A" w:rsidP="000707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60" w:type="dxa"/>
            <w:hideMark/>
          </w:tcPr>
          <w:p w:rsidR="00180E0D" w:rsidRPr="00301E2C" w:rsidRDefault="0007072A" w:rsidP="000707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4.2. PRIHODI ZA POSEBNE NAMJENE - PK</w:t>
            </w:r>
          </w:p>
        </w:tc>
        <w:tc>
          <w:tcPr>
            <w:tcW w:w="2118" w:type="dxa"/>
            <w:hideMark/>
          </w:tcPr>
          <w:p w:rsidR="00180E0D" w:rsidRPr="00301E2C" w:rsidRDefault="00FD3CBB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3" w:type="dxa"/>
            <w:hideMark/>
          </w:tcPr>
          <w:p w:rsidR="00180E0D" w:rsidRPr="00301E2C" w:rsidRDefault="00FD3CBB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hideMark/>
          </w:tcPr>
          <w:p w:rsidR="00180E0D" w:rsidRPr="00301E2C" w:rsidRDefault="00FD3CBB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5.3. POMOĆI - PK</w:t>
            </w:r>
          </w:p>
        </w:tc>
        <w:tc>
          <w:tcPr>
            <w:tcW w:w="2118" w:type="dxa"/>
            <w:hideMark/>
          </w:tcPr>
          <w:p w:rsidR="00180E0D" w:rsidRPr="00301E2C" w:rsidRDefault="00180E0D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950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3" w:type="dxa"/>
            <w:hideMark/>
          </w:tcPr>
          <w:p w:rsidR="00180E0D" w:rsidRPr="00301E2C" w:rsidRDefault="00180E0D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95</w:t>
            </w:r>
            <w:r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60" w:type="dxa"/>
            <w:hideMark/>
          </w:tcPr>
          <w:p w:rsidR="00180E0D" w:rsidRPr="00301E2C" w:rsidRDefault="00FD3CBB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="00180E0D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  <w:r w:rsidR="00180E0D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6.2. DONACIJE - PK</w:t>
            </w:r>
          </w:p>
        </w:tc>
        <w:tc>
          <w:tcPr>
            <w:tcW w:w="2118" w:type="dxa"/>
            <w:hideMark/>
          </w:tcPr>
          <w:p w:rsidR="00180E0D" w:rsidRPr="00301E2C" w:rsidRDefault="00FD3CBB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3" w:type="dxa"/>
            <w:hideMark/>
          </w:tcPr>
          <w:p w:rsidR="00180E0D" w:rsidRPr="00301E2C" w:rsidRDefault="00FD3CBB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60" w:type="dxa"/>
            <w:hideMark/>
          </w:tcPr>
          <w:p w:rsidR="00180E0D" w:rsidRPr="00301E2C" w:rsidRDefault="00FD3CBB" w:rsidP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</w:t>
            </w:r>
            <w:r w:rsidR="00180E0D"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301E2C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</w:t>
            </w:r>
            <w:r w:rsidR="00FD3CBB">
              <w:rPr>
                <w:b/>
                <w:bCs/>
              </w:rPr>
              <w:t>3</w:t>
            </w:r>
            <w:r w:rsidRPr="00301E2C">
              <w:rPr>
                <w:b/>
                <w:bCs/>
              </w:rPr>
              <w:t xml:space="preserve">1 </w:t>
            </w:r>
            <w:r w:rsidR="00FD3CBB">
              <w:rPr>
                <w:b/>
                <w:bCs/>
              </w:rPr>
              <w:t>Prehrana za učenike osnovnih škola</w:t>
            </w:r>
          </w:p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180E0D" w:rsidRDefault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  <w:r w:rsidR="00180E0D">
              <w:rPr>
                <w:b/>
                <w:bCs/>
                <w:color w:val="000000"/>
                <w:sz w:val="16"/>
                <w:szCs w:val="16"/>
              </w:rPr>
              <w:t>.8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180E0D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180E0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180E0D" w:rsidRPr="00301E2C" w:rsidRDefault="00180E0D" w:rsidP="0030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hideMark/>
          </w:tcPr>
          <w:p w:rsidR="00180E0D" w:rsidRDefault="00180E0D" w:rsidP="00FD3CBB">
            <w:pPr>
              <w:jc w:val="right"/>
            </w:pPr>
            <w:r w:rsidRPr="00936934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.8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hideMark/>
          </w:tcPr>
          <w:p w:rsidR="00180E0D" w:rsidRDefault="00180E0D" w:rsidP="00FD3CBB">
            <w:pPr>
              <w:jc w:val="right"/>
            </w:pPr>
            <w:r w:rsidRPr="00936934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.8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D3CBB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93693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FD3CBB" w:rsidP="00301E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 A60001</w:t>
            </w:r>
            <w:r w:rsidR="00E31B88">
              <w:rPr>
                <w:b/>
                <w:bCs/>
              </w:rPr>
              <w:t>8 S osmjehom u školu 6</w:t>
            </w:r>
          </w:p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180E0D" w:rsidRPr="00301E2C" w:rsidRDefault="00FD3CBB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6.710,00</w:t>
            </w:r>
          </w:p>
        </w:tc>
        <w:tc>
          <w:tcPr>
            <w:tcW w:w="1813" w:type="dxa"/>
            <w:hideMark/>
          </w:tcPr>
          <w:p w:rsidR="00180E0D" w:rsidRDefault="00FD3CBB" w:rsidP="00180E0D">
            <w:pPr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6.710,00</w:t>
            </w:r>
          </w:p>
        </w:tc>
        <w:tc>
          <w:tcPr>
            <w:tcW w:w="1860" w:type="dxa"/>
            <w:hideMark/>
          </w:tcPr>
          <w:p w:rsidR="00180E0D" w:rsidRDefault="00FD3CBB" w:rsidP="00180E0D">
            <w:pPr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6.710,00</w:t>
            </w:r>
          </w:p>
        </w:tc>
      </w:tr>
      <w:tr w:rsidR="00312E3B" w:rsidRPr="000D4752" w:rsidTr="00001E6A">
        <w:trPr>
          <w:trHeight w:val="516"/>
        </w:trPr>
        <w:tc>
          <w:tcPr>
            <w:tcW w:w="2088" w:type="dxa"/>
            <w:hideMark/>
          </w:tcPr>
          <w:p w:rsidR="00312E3B" w:rsidRPr="00301E2C" w:rsidRDefault="00312E3B" w:rsidP="00301E2C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A600014     Projekt "Školska shema"</w:t>
            </w:r>
          </w:p>
          <w:p w:rsidR="00312E3B" w:rsidRPr="00301E2C" w:rsidRDefault="00312E3B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312E3B" w:rsidRPr="00301E2C" w:rsidRDefault="00312E3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312E3B" w:rsidRPr="00301E2C" w:rsidRDefault="00FD3CBB" w:rsidP="00FD3CBB">
            <w:pPr>
              <w:tabs>
                <w:tab w:val="center" w:pos="951"/>
                <w:tab w:val="right" w:pos="1902"/>
              </w:tabs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3" w:type="dxa"/>
            <w:hideMark/>
          </w:tcPr>
          <w:p w:rsidR="00312E3B" w:rsidRPr="00301E2C" w:rsidRDefault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60" w:type="dxa"/>
            <w:hideMark/>
          </w:tcPr>
          <w:p w:rsidR="00312E3B" w:rsidRPr="00301E2C" w:rsidRDefault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2E3B" w:rsidRPr="000D4752" w:rsidTr="00001E6A">
        <w:trPr>
          <w:trHeight w:val="516"/>
        </w:trPr>
        <w:tc>
          <w:tcPr>
            <w:tcW w:w="2088" w:type="dxa"/>
            <w:hideMark/>
          </w:tcPr>
          <w:p w:rsidR="00312E3B" w:rsidRPr="00322703" w:rsidRDefault="00312E3B" w:rsidP="00322703">
            <w:pPr>
              <w:jc w:val="both"/>
              <w:rPr>
                <w:b/>
                <w:bCs/>
              </w:rPr>
            </w:pPr>
            <w:r w:rsidRPr="00322703">
              <w:rPr>
                <w:b/>
                <w:bCs/>
              </w:rPr>
              <w:t>Aktivnost A600027     Projekt "Medni dan"</w:t>
            </w:r>
          </w:p>
          <w:p w:rsidR="00312E3B" w:rsidRPr="00301E2C" w:rsidRDefault="00312E3B" w:rsidP="00301E2C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312E3B" w:rsidRDefault="00312E3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312E3B" w:rsidRPr="00301E2C" w:rsidRDefault="00FD3CBB" w:rsidP="00EE49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813" w:type="dxa"/>
            <w:hideMark/>
          </w:tcPr>
          <w:p w:rsidR="00312E3B" w:rsidRPr="00301E2C" w:rsidRDefault="00FD3CB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860" w:type="dxa"/>
            <w:hideMark/>
          </w:tcPr>
          <w:p w:rsidR="00312E3B" w:rsidRPr="00301E2C" w:rsidRDefault="00FD3CBB" w:rsidP="00D710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270,00</w:t>
            </w:r>
          </w:p>
        </w:tc>
      </w:tr>
    </w:tbl>
    <w:p w:rsidR="00C843F5" w:rsidRDefault="00C843F5" w:rsidP="008777A9">
      <w:pPr>
        <w:jc w:val="both"/>
      </w:pPr>
    </w:p>
    <w:p w:rsidR="00862C92" w:rsidRDefault="00862C92" w:rsidP="008777A9">
      <w:pPr>
        <w:jc w:val="both"/>
      </w:pPr>
      <w:r>
        <w:t>Vlastiti prihodi: financiranje materijala i usluga za tekuće i investicijsko održavanje, osiguranje od odgovornosti,</w:t>
      </w:r>
      <w:r w:rsidR="008628CC">
        <w:t xml:space="preserve"> prekovremeni rad vikendo</w:t>
      </w:r>
      <w:r w:rsidR="00EE4920">
        <w:t>m i blagdanom za dežurstva u sportskoj dvorani,</w:t>
      </w:r>
      <w:r>
        <w:t xml:space="preserve"> nabava nefinancijske imovine.</w:t>
      </w:r>
    </w:p>
    <w:p w:rsidR="00862C92" w:rsidRDefault="00005B23" w:rsidP="008777A9">
      <w:pPr>
        <w:jc w:val="both"/>
      </w:pPr>
      <w:r>
        <w:t xml:space="preserve">Prihodi za posebne namjene: </w:t>
      </w:r>
      <w:r w:rsidR="00FD3CBB">
        <w:t>nije planirano budući da nema školske prehrane koja se naplaćuje.</w:t>
      </w:r>
    </w:p>
    <w:p w:rsidR="00005B23" w:rsidRDefault="00005B23" w:rsidP="008777A9">
      <w:pPr>
        <w:jc w:val="both"/>
      </w:pPr>
      <w:r>
        <w:t>Pomoći: Financiranje naknade mentorstva, ulaganja u poboljšanje nastave(materijal, sitni inventar, knjige), nabava udžbenika.</w:t>
      </w:r>
    </w:p>
    <w:p w:rsidR="00005B23" w:rsidRDefault="00005B23" w:rsidP="008777A9">
      <w:pPr>
        <w:jc w:val="both"/>
      </w:pPr>
      <w:r>
        <w:t>Donacije: Financiranje naknade zaposlenima za realizaciju izvannastavnih aktivnosti</w:t>
      </w:r>
      <w:r w:rsidR="00EE4920">
        <w:t xml:space="preserve"> i materijalni rashodi za posebne aktivnosti učenika</w:t>
      </w:r>
      <w:r>
        <w:t>.</w:t>
      </w:r>
    </w:p>
    <w:p w:rsidR="00301E2C" w:rsidRDefault="00301E2C" w:rsidP="008777A9">
      <w:pPr>
        <w:jc w:val="both"/>
      </w:pPr>
    </w:p>
    <w:p w:rsidR="00301E2C" w:rsidRDefault="00301E2C" w:rsidP="008777A9">
      <w:pPr>
        <w:jc w:val="both"/>
      </w:pPr>
      <w:r>
        <w:t xml:space="preserve">Financiranje materijala i sirovina za provedbu </w:t>
      </w:r>
      <w:r w:rsidR="001C4F9A">
        <w:t>osiguranja prehrane za učenike osnovnih škola</w:t>
      </w:r>
      <w:r>
        <w:t>.</w:t>
      </w:r>
    </w:p>
    <w:p w:rsidR="00301E2C" w:rsidRDefault="00301E2C" w:rsidP="008777A9">
      <w:pPr>
        <w:jc w:val="both"/>
      </w:pPr>
      <w:r>
        <w:t>Financiranje plaća i naknada zaposlenim prema projektu Pomoćnici u nastavi.</w:t>
      </w:r>
    </w:p>
    <w:p w:rsidR="00322703" w:rsidRDefault="00322703" w:rsidP="008777A9">
      <w:pPr>
        <w:jc w:val="both"/>
      </w:pPr>
      <w:r>
        <w:t>Financiranje nabave meda za provedbu projekta Školski medni dan.</w:t>
      </w:r>
    </w:p>
    <w:p w:rsidR="00301E2C" w:rsidRDefault="00301E2C" w:rsidP="008777A9">
      <w:pPr>
        <w:jc w:val="both"/>
      </w:pPr>
    </w:p>
    <w:p w:rsidR="00005B23" w:rsidRDefault="00005B23" w:rsidP="008777A9">
      <w:pPr>
        <w:jc w:val="both"/>
      </w:pPr>
    </w:p>
    <w:p w:rsidR="00005B23" w:rsidRDefault="00005B23" w:rsidP="00005B23">
      <w:pPr>
        <w:jc w:val="both"/>
      </w:pPr>
      <w:r>
        <w:t>Naziv programa: A6000 Odgoj i obrazovanje, plaće zaposlenih</w:t>
      </w:r>
    </w:p>
    <w:p w:rsidR="00005B23" w:rsidRDefault="00005B23" w:rsidP="00005B23">
      <w:pPr>
        <w:jc w:val="both"/>
      </w:pPr>
      <w:r>
        <w:t xml:space="preserve">Opći i posebni ciljevi: </w:t>
      </w:r>
      <w:r w:rsidR="00DB0ACC">
        <w:t>Osigurati kvalitetno osoblje škole i poticati ih na profesionalni razvoj</w:t>
      </w:r>
    </w:p>
    <w:p w:rsidR="00005B23" w:rsidRDefault="00005B23" w:rsidP="00005B23">
      <w:pPr>
        <w:jc w:val="both"/>
      </w:pPr>
      <w:r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005B23" w:rsidRPr="000D4752" w:rsidTr="00001E6A">
        <w:trPr>
          <w:trHeight w:val="516"/>
        </w:trPr>
        <w:tc>
          <w:tcPr>
            <w:tcW w:w="2088" w:type="dxa"/>
            <w:hideMark/>
          </w:tcPr>
          <w:p w:rsidR="00005B23" w:rsidRPr="000D4752" w:rsidRDefault="00005B23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005B23" w:rsidRDefault="00005B23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005B23" w:rsidRPr="000D4752" w:rsidRDefault="00005B23" w:rsidP="001C4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C4F9A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005B23" w:rsidRPr="000D4752" w:rsidRDefault="00005B23" w:rsidP="001C4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C4F9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005B23" w:rsidRPr="000D4752" w:rsidRDefault="00005B23" w:rsidP="001C4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C4F9A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</w:tr>
      <w:tr w:rsidR="00EE4920" w:rsidRPr="000D4752" w:rsidTr="00001E6A">
        <w:trPr>
          <w:trHeight w:val="516"/>
        </w:trPr>
        <w:tc>
          <w:tcPr>
            <w:tcW w:w="2088" w:type="dxa"/>
            <w:hideMark/>
          </w:tcPr>
          <w:p w:rsidR="00EE4920" w:rsidRPr="000D4752" w:rsidRDefault="00EE4920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Aktivnost A600006</w:t>
            </w:r>
            <w:r w:rsidRPr="000D4752">
              <w:rPr>
                <w:b/>
                <w:bCs/>
              </w:rPr>
              <w:t xml:space="preserve"> Osnovno školstvo</w:t>
            </w:r>
            <w:r>
              <w:rPr>
                <w:b/>
                <w:bCs/>
              </w:rPr>
              <w:t>, plaće MZO</w:t>
            </w:r>
          </w:p>
        </w:tc>
        <w:tc>
          <w:tcPr>
            <w:tcW w:w="2088" w:type="dxa"/>
          </w:tcPr>
          <w:p w:rsidR="00EE4920" w:rsidRPr="000D4752" w:rsidRDefault="00EE4920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2118" w:type="dxa"/>
            <w:hideMark/>
          </w:tcPr>
          <w:p w:rsidR="00EE4920" w:rsidRPr="000D4752" w:rsidRDefault="001C4F9A" w:rsidP="001C4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1.104</w:t>
            </w:r>
            <w:r w:rsidR="00EE4920">
              <w:rPr>
                <w:b/>
                <w:bCs/>
              </w:rPr>
              <w:t>.</w:t>
            </w:r>
            <w:r>
              <w:rPr>
                <w:b/>
                <w:bCs/>
              </w:rPr>
              <w:t>330</w:t>
            </w:r>
            <w:r w:rsidR="00EE4920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13" w:type="dxa"/>
            <w:hideMark/>
          </w:tcPr>
          <w:p w:rsidR="00EE4920" w:rsidRPr="000D4752" w:rsidRDefault="001C4F9A" w:rsidP="001C4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1.104</w:t>
            </w:r>
            <w:r w:rsidR="00EE4920">
              <w:rPr>
                <w:b/>
                <w:bCs/>
              </w:rPr>
              <w:t>.</w:t>
            </w:r>
            <w:r>
              <w:rPr>
                <w:b/>
                <w:bCs/>
              </w:rPr>
              <w:t>330</w:t>
            </w:r>
            <w:r w:rsidR="00EE4920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860" w:type="dxa"/>
            <w:hideMark/>
          </w:tcPr>
          <w:p w:rsidR="00EE4920" w:rsidRPr="000D4752" w:rsidRDefault="001C4F9A" w:rsidP="001C4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1.104</w:t>
            </w:r>
            <w:r w:rsidR="00EE4920">
              <w:rPr>
                <w:b/>
                <w:bCs/>
              </w:rPr>
              <w:t>.3</w:t>
            </w:r>
            <w:r>
              <w:rPr>
                <w:b/>
                <w:bCs/>
              </w:rPr>
              <w:t>30</w:t>
            </w:r>
            <w:r w:rsidR="00EE4920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</w:tbl>
    <w:p w:rsidR="00005B23" w:rsidRDefault="00005B23" w:rsidP="008777A9">
      <w:pPr>
        <w:jc w:val="both"/>
      </w:pPr>
    </w:p>
    <w:p w:rsidR="00DB0ACC" w:rsidRDefault="00DB0ACC" w:rsidP="008777A9">
      <w:pPr>
        <w:jc w:val="both"/>
      </w:pPr>
      <w:r>
        <w:t xml:space="preserve">Financiranje plaća za zaposlene, zajedno s rashodima </w:t>
      </w:r>
      <w:r w:rsidR="00301E2C">
        <w:t>za doprinose na plaće, ostalih rashoda za zaposlene, naknada troškova zaposlenima za prijevoz na posao i s posla, naknade, nagrade i otpremnine</w:t>
      </w:r>
    </w:p>
    <w:p w:rsidR="008777A9" w:rsidRPr="009B3A13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9B3A13">
        <w:rPr>
          <w:b/>
        </w:rPr>
        <w:t>3.Zakonske i druge podloge na kojima se zasniva program rada škole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numPr>
          <w:ilvl w:val="0"/>
          <w:numId w:val="3"/>
        </w:numPr>
        <w:jc w:val="both"/>
      </w:pPr>
      <w:r>
        <w:t>Zakon o odgoju i obrazovanju u osnovnoj i srednjoj školi, (NN br. 87/08., 86/09., 92/10., 90/11., 5/12. i 16./12, 86/1</w:t>
      </w:r>
      <w:r w:rsidR="00677A14">
        <w:t>2, 126/12, 94/13, 152/14, 7/17 ,</w:t>
      </w:r>
      <w:r>
        <w:t xml:space="preserve"> 68/18</w:t>
      </w:r>
      <w:r w:rsidR="002550FF">
        <w:t>,9./19 i 64/20</w:t>
      </w:r>
      <w:r>
        <w:t>)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 xml:space="preserve">Zakon o ustanovama, (NN br. </w:t>
      </w:r>
      <w:r w:rsidR="00EE4920">
        <w:t xml:space="preserve">76/93., 29/97., 47/99., </w:t>
      </w:r>
      <w:r>
        <w:t>35/08.</w:t>
      </w:r>
      <w:r w:rsidR="00EE4920">
        <w:t xml:space="preserve">, i </w:t>
      </w:r>
      <w:r w:rsidR="004F67B3">
        <w:t>127/19</w:t>
      </w:r>
      <w:r>
        <w:t>)</w:t>
      </w:r>
    </w:p>
    <w:p w:rsidR="00E26A84" w:rsidRDefault="008777A9" w:rsidP="008777A9">
      <w:pPr>
        <w:numPr>
          <w:ilvl w:val="0"/>
          <w:numId w:val="3"/>
        </w:numPr>
        <w:jc w:val="both"/>
      </w:pPr>
      <w:r>
        <w:t xml:space="preserve">Zakon o proračunu, (NN br. </w:t>
      </w:r>
      <w:r w:rsidR="004F67B3">
        <w:t>144/21</w:t>
      </w:r>
      <w:r>
        <w:t>), Pravilnik o proračunskim klasifikacijama (NN br. 26/10, 120/13</w:t>
      </w:r>
      <w:r w:rsidR="00E26A84">
        <w:t>.,1/20</w:t>
      </w:r>
      <w:r>
        <w:t>), Pravilnik o proračunskom računovodstvu i računskom planu (NN br. 124/14, 115/15, 87/16</w:t>
      </w:r>
      <w:r w:rsidR="00E26A84">
        <w:t>, 126/19, 108/20</w:t>
      </w:r>
      <w:r>
        <w:t xml:space="preserve">), 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>Odluka o kriterijima i mjerilima za utvrđivanje bilančnih prava za financiranje minimalnog financijskog standarda u 20</w:t>
      </w:r>
      <w:r w:rsidR="00E26A84">
        <w:t>2</w:t>
      </w:r>
      <w:r w:rsidR="001C4F9A">
        <w:t>3</w:t>
      </w:r>
      <w:r>
        <w:t xml:space="preserve">. </w:t>
      </w:r>
      <w:r w:rsidR="00E26A84">
        <w:t>G</w:t>
      </w:r>
      <w:r>
        <w:t>odini</w:t>
      </w:r>
    </w:p>
    <w:p w:rsidR="00E26A84" w:rsidRDefault="00E26A84" w:rsidP="008777A9">
      <w:pPr>
        <w:numPr>
          <w:ilvl w:val="0"/>
          <w:numId w:val="3"/>
        </w:numPr>
        <w:jc w:val="both"/>
      </w:pPr>
      <w:r>
        <w:t>Upute za izradu proračuna upravnih tijela i proračunskih korisnika proračuna Brodsko-posavske županije za razdoblje 202</w:t>
      </w:r>
      <w:r w:rsidR="001C4F9A">
        <w:t>4</w:t>
      </w:r>
      <w:r>
        <w:t>.-202</w:t>
      </w:r>
      <w:r w:rsidR="001C4F9A">
        <w:t>6</w:t>
      </w:r>
      <w:r>
        <w:t>.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>Godišnji plan i program rada škole i Školski kurikulum Osnovne škole Ivana Gorana Kovačića Staro</w:t>
      </w:r>
      <w:r w:rsidR="00E26A84">
        <w:t xml:space="preserve"> Petrovo Selo za šk. godinu 202</w:t>
      </w:r>
      <w:r w:rsidR="001C4F9A">
        <w:t>3</w:t>
      </w:r>
      <w:r>
        <w:t>./2</w:t>
      </w:r>
      <w:r w:rsidR="001C4F9A">
        <w:t>4</w:t>
      </w:r>
      <w: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1E7F67">
        <w:rPr>
          <w:b/>
        </w:rPr>
        <w:t>4. Usklađenost ciljeva, strategije programa s dokumentima dugoročnog razvoja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ind w:firstLine="708"/>
        <w:jc w:val="both"/>
      </w:pPr>
      <w:r>
        <w:t>Školske ustanove ne donose strateške, već godišnje operativne planove prema planu i programu, koje je donijelo Ministarstvo znanosti i obrazovanja. Strateške planove donosi Ministarstvo znanosti obrazovanja i sporta i županija kao osnivač škole. Vertikalna usklađivanja ciljeva i programa MZO-a  i županije s ciljevima i programima škole - školske ustanove još nisu provedena.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</w:p>
    <w:p w:rsidR="008777A9" w:rsidRDefault="008777A9" w:rsidP="008777A9">
      <w:pPr>
        <w:jc w:val="both"/>
        <w:rPr>
          <w:b/>
        </w:rPr>
      </w:pPr>
      <w:r>
        <w:rPr>
          <w:b/>
        </w:rPr>
        <w:t xml:space="preserve">    provođenje programa</w:t>
      </w:r>
    </w:p>
    <w:p w:rsidR="008777A9" w:rsidRDefault="008777A9" w:rsidP="008777A9">
      <w:pPr>
        <w:jc w:val="both"/>
        <w:rPr>
          <w:b/>
        </w:rPr>
      </w:pPr>
    </w:p>
    <w:p w:rsidR="008777A9" w:rsidRPr="00B062FE" w:rsidRDefault="008777A9" w:rsidP="008777A9">
      <w:pPr>
        <w:jc w:val="both"/>
        <w:rPr>
          <w:b/>
        </w:rPr>
      </w:pPr>
      <w:r w:rsidRPr="00B062FE">
        <w:rPr>
          <w:b/>
        </w:rPr>
        <w:t xml:space="preserve">Izvori sredstava za </w:t>
      </w:r>
      <w:r>
        <w:rPr>
          <w:b/>
        </w:rPr>
        <w:t xml:space="preserve">financiranje </w:t>
      </w:r>
      <w:r w:rsidRPr="00B062FE">
        <w:rPr>
          <w:b/>
        </w:rPr>
        <w:t>rad</w:t>
      </w:r>
      <w:r>
        <w:rPr>
          <w:b/>
        </w:rPr>
        <w:t>a</w:t>
      </w:r>
      <w:r w:rsidR="008628CC">
        <w:rPr>
          <w:b/>
        </w:rPr>
        <w:t xml:space="preserve"> </w:t>
      </w:r>
      <w:r>
        <w:rPr>
          <w:b/>
        </w:rPr>
        <w:t>Osnovne škole Ivana Gorana Kovačića</w:t>
      </w:r>
      <w:r w:rsidRPr="00B062FE">
        <w:rPr>
          <w:b/>
        </w:rPr>
        <w:t xml:space="preserve"> su</w:t>
      </w:r>
      <w:r w:rsidR="00A848E8">
        <w:rPr>
          <w:b/>
        </w:rPr>
        <w:t>:</w:t>
      </w:r>
    </w:p>
    <w:p w:rsidR="008777A9" w:rsidRDefault="00237460" w:rsidP="001B089F">
      <w:pPr>
        <w:numPr>
          <w:ilvl w:val="0"/>
          <w:numId w:val="1"/>
        </w:numPr>
        <w:jc w:val="both"/>
      </w:pPr>
      <w:r>
        <w:t>Pomoći državnog</w:t>
      </w:r>
      <w:r w:rsidR="008777A9">
        <w:t xml:space="preserve"> proračun</w:t>
      </w:r>
      <w:r>
        <w:t>a</w:t>
      </w:r>
      <w:r w:rsidR="008777A9">
        <w:t xml:space="preserve"> za financiranje rada zaposlenih radnika</w:t>
      </w:r>
      <w:r w:rsidR="00F70D81">
        <w:t xml:space="preserve"> u iznosu od </w:t>
      </w:r>
      <w:r w:rsidR="00A848E8">
        <w:t>1.104</w:t>
      </w:r>
      <w:r w:rsidR="001B089F">
        <w:t>.</w:t>
      </w:r>
      <w:r w:rsidR="00A848E8">
        <w:t>330</w:t>
      </w:r>
      <w:r w:rsidR="001B089F">
        <w:t>,</w:t>
      </w:r>
      <w:r w:rsidR="00A848E8">
        <w:t>00</w:t>
      </w:r>
      <w:r w:rsidR="004F67B3">
        <w:t xml:space="preserve"> eura</w:t>
      </w:r>
      <w:r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 xml:space="preserve">Opći prihodi i </w:t>
      </w:r>
      <w:r w:rsidR="001B089F">
        <w:t>primici, nadležni</w:t>
      </w:r>
      <w:r>
        <w:t xml:space="preserve"> proračun za materijalne troškove poslovanja</w:t>
      </w:r>
      <w:r w:rsidR="008628CC">
        <w:t xml:space="preserve"> </w:t>
      </w:r>
      <w:r>
        <w:t>te</w:t>
      </w:r>
      <w:r w:rsidR="001B089F">
        <w:t xml:space="preserve"> provedbu projekata</w:t>
      </w:r>
      <w:r w:rsidR="00A848E8">
        <w:t xml:space="preserve"> „Školski medni dan“</w:t>
      </w:r>
      <w:r w:rsidR="001B089F">
        <w:t xml:space="preserve"> u</w:t>
      </w:r>
      <w:r w:rsidR="00F70D81">
        <w:t xml:space="preserve"> iznosu od</w:t>
      </w:r>
      <w:r w:rsidR="00AF06BD">
        <w:t xml:space="preserve"> </w:t>
      </w:r>
      <w:r w:rsidR="004F67B3">
        <w:t>7</w:t>
      </w:r>
      <w:r w:rsidR="00A848E8">
        <w:t>1</w:t>
      </w:r>
      <w:r w:rsidR="001B089F">
        <w:t>.</w:t>
      </w:r>
      <w:r w:rsidR="00A848E8">
        <w:t>219</w:t>
      </w:r>
      <w:r w:rsidR="001B089F">
        <w:t>,</w:t>
      </w:r>
      <w:r w:rsidR="00A848E8">
        <w:t>00</w:t>
      </w:r>
      <w:r w:rsidR="004F67B3">
        <w:t>eur</w:t>
      </w:r>
      <w:r w:rsidR="00EB1E65">
        <w:t>a</w:t>
      </w:r>
      <w:r w:rsidR="00237460">
        <w:t>.</w:t>
      </w:r>
    </w:p>
    <w:p w:rsidR="00237460" w:rsidRDefault="00237460" w:rsidP="008777A9">
      <w:pPr>
        <w:numPr>
          <w:ilvl w:val="0"/>
          <w:numId w:val="1"/>
        </w:numPr>
        <w:jc w:val="both"/>
      </w:pPr>
      <w:r>
        <w:t xml:space="preserve">Prihodi nadležnog proračuna temeljem prijenosa EU sredstava za plaće pomoćnika u nastavi u iznosu od </w:t>
      </w:r>
      <w:r w:rsidR="003A1BD8">
        <w:t>6</w:t>
      </w:r>
      <w:r>
        <w:t>.</w:t>
      </w:r>
      <w:r w:rsidR="003A1BD8">
        <w:t>710</w:t>
      </w:r>
      <w:r>
        <w:t>,</w:t>
      </w:r>
      <w:r w:rsidR="003A1BD8">
        <w:t>0</w:t>
      </w:r>
      <w:r>
        <w:t>0 kn.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Vlastiti prihodi od izna</w:t>
      </w:r>
      <w:r w:rsidR="001B089F">
        <w:t>jmljivanja prostora</w:t>
      </w:r>
      <w:r>
        <w:t>, za provedbu dodatnih aktivnosti škole prema Planu i programu rada (</w:t>
      </w:r>
      <w:r>
        <w:rPr>
          <w:sz w:val="22"/>
          <w:szCs w:val="22"/>
        </w:rPr>
        <w:t>70% od vrijednosti uplate</w:t>
      </w:r>
      <w:r>
        <w:t xml:space="preserve">) te obnovu nefinancijske imovine </w:t>
      </w:r>
      <w:r w:rsidR="00F70D81">
        <w:t>u iznosu od</w:t>
      </w:r>
      <w:r w:rsidR="00AF06BD">
        <w:t xml:space="preserve"> </w:t>
      </w:r>
      <w:r w:rsidR="003A1BD8">
        <w:t>4</w:t>
      </w:r>
      <w:r w:rsidR="00237460">
        <w:t>.</w:t>
      </w:r>
      <w:r w:rsidR="003A1BD8">
        <w:t>000</w:t>
      </w:r>
      <w:r w:rsidR="00237460">
        <w:t>,</w:t>
      </w:r>
      <w:r w:rsidR="003A1BD8">
        <w:t>00</w:t>
      </w:r>
      <w:r w:rsidR="004F67B3">
        <w:t xml:space="preserve"> eura</w:t>
      </w:r>
      <w:r w:rsidR="00237460">
        <w:t xml:space="preserve"> uz predviđeni prijenos viška prihoda od </w:t>
      </w:r>
      <w:r w:rsidR="003A1BD8">
        <w:t>1.200</w:t>
      </w:r>
      <w:r w:rsidR="00237460">
        <w:t>,</w:t>
      </w:r>
      <w:r w:rsidR="003A1BD8">
        <w:t>00</w:t>
      </w:r>
      <w:r w:rsidR="004F67B3">
        <w:t>euro</w:t>
      </w:r>
      <w:r w:rsidR="00237460"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Donacije –  za provedbu ekskurzije učiteljima koji su obvezna pratnja učenicima te troškove za natjecanja učenika</w:t>
      </w:r>
      <w:r w:rsidR="00F70D81">
        <w:t xml:space="preserve"> u iznosu od</w:t>
      </w:r>
      <w:r w:rsidR="003A1BD8">
        <w:t xml:space="preserve"> 400,00</w:t>
      </w:r>
      <w:r w:rsidR="00A06F51">
        <w:t>eura</w:t>
      </w:r>
      <w:r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Pomoći –  namjenska sredstva za rad Školskog športskog kluba, održavanje i poboljšanje učeničkog standarda</w:t>
      </w:r>
      <w:r w:rsidR="00237460">
        <w:t xml:space="preserve"> (nabava lektire i udžbenika)</w:t>
      </w:r>
      <w:r w:rsidR="003A1BD8">
        <w:t xml:space="preserve"> te osiguranje prehrane učenicima</w:t>
      </w:r>
      <w:r w:rsidR="00F70D81">
        <w:t xml:space="preserve"> u iznosu od</w:t>
      </w:r>
      <w:r w:rsidR="003A1BD8">
        <w:t>83</w:t>
      </w:r>
      <w:r w:rsidR="00237460">
        <w:t>.</w:t>
      </w:r>
      <w:r w:rsidR="003A1BD8">
        <w:t>750</w:t>
      </w:r>
      <w:r w:rsidR="00237460">
        <w:t>,</w:t>
      </w:r>
      <w:r w:rsidR="003A1BD8">
        <w:t>00</w:t>
      </w:r>
    </w:p>
    <w:p w:rsidR="00F70D81" w:rsidRDefault="00F70D81" w:rsidP="00F70D81">
      <w:pPr>
        <w:jc w:val="both"/>
      </w:pPr>
    </w:p>
    <w:p w:rsidR="00F70D81" w:rsidRDefault="00F70D81" w:rsidP="00F70D81">
      <w:pPr>
        <w:jc w:val="both"/>
      </w:pPr>
      <w:r>
        <w:lastRenderedPageBreak/>
        <w:t>U školskoj godini 202</w:t>
      </w:r>
      <w:r w:rsidR="00AF06BD">
        <w:t>3</w:t>
      </w:r>
      <w:r w:rsidR="00387FD5">
        <w:t>./202</w:t>
      </w:r>
      <w:r w:rsidR="00AF06BD">
        <w:t>4</w:t>
      </w:r>
      <w:r>
        <w:t>. planirano je im</w:t>
      </w:r>
      <w:r w:rsidR="00AF06BD">
        <w:t>ati 20</w:t>
      </w:r>
      <w:r>
        <w:t xml:space="preserve"> razrednih odjela, od toga 12 u matičnoj i </w:t>
      </w:r>
      <w:r w:rsidR="00AF06BD">
        <w:t>8</w:t>
      </w:r>
      <w:r>
        <w:t xml:space="preserve"> u </w:t>
      </w:r>
      <w:r w:rsidR="00AF06BD">
        <w:t>područnim školama, ukupno je 219</w:t>
      </w:r>
      <w:r>
        <w:t xml:space="preserve"> učenika.</w:t>
      </w:r>
    </w:p>
    <w:p w:rsidR="00F70D81" w:rsidRDefault="00F70D81" w:rsidP="00F70D81">
      <w:pPr>
        <w:jc w:val="both"/>
      </w:pPr>
    </w:p>
    <w:p w:rsidR="00F70D81" w:rsidRDefault="00F70D81" w:rsidP="00F70D81">
      <w:pPr>
        <w:jc w:val="both"/>
      </w:pPr>
      <w:r>
        <w:t>Projekcije kretanja broja djece i broja odgojnih skupina, te broja zaposlenih:</w:t>
      </w:r>
    </w:p>
    <w:p w:rsidR="00F70D81" w:rsidRDefault="00F70D81" w:rsidP="00F70D81">
      <w:pPr>
        <w:jc w:val="both"/>
      </w:pPr>
    </w:p>
    <w:tbl>
      <w:tblPr>
        <w:tblStyle w:val="Reetkatablice"/>
        <w:tblW w:w="0" w:type="auto"/>
        <w:jc w:val="center"/>
        <w:tblLook w:val="04A0"/>
      </w:tblPr>
      <w:tblGrid>
        <w:gridCol w:w="2491"/>
        <w:gridCol w:w="2492"/>
        <w:gridCol w:w="2492"/>
        <w:gridCol w:w="2492"/>
      </w:tblGrid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PROJEKCIJE</w:t>
            </w:r>
          </w:p>
        </w:tc>
        <w:tc>
          <w:tcPr>
            <w:tcW w:w="2492" w:type="dxa"/>
          </w:tcPr>
          <w:p w:rsidR="00F70D81" w:rsidRPr="00F70D81" w:rsidRDefault="00F70D81" w:rsidP="003A1BD8">
            <w:pPr>
              <w:jc w:val="center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202</w:t>
            </w:r>
            <w:r w:rsidR="003A1BD8">
              <w:rPr>
                <w:sz w:val="16"/>
                <w:szCs w:val="16"/>
              </w:rPr>
              <w:t>4</w:t>
            </w:r>
            <w:r w:rsidRPr="00F70D81">
              <w:rPr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70D81" w:rsidRPr="00F70D81" w:rsidRDefault="003623AC" w:rsidP="003A1B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A1BD8">
              <w:rPr>
                <w:sz w:val="16"/>
                <w:szCs w:val="16"/>
              </w:rPr>
              <w:t>5</w:t>
            </w:r>
            <w:r w:rsidR="00F70D81" w:rsidRPr="00F70D81">
              <w:rPr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70D81" w:rsidRPr="00F70D81" w:rsidRDefault="00F70D81" w:rsidP="00A06F51">
            <w:pPr>
              <w:jc w:val="center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202</w:t>
            </w:r>
            <w:r w:rsidR="003A1BD8">
              <w:rPr>
                <w:sz w:val="16"/>
                <w:szCs w:val="16"/>
              </w:rPr>
              <w:t>6</w:t>
            </w:r>
            <w:r w:rsidRPr="00F70D81">
              <w:rPr>
                <w:sz w:val="16"/>
                <w:szCs w:val="16"/>
              </w:rPr>
              <w:t>.</w:t>
            </w:r>
          </w:p>
        </w:tc>
      </w:tr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BROJ DJECE U REDOVNOM PROGRAMU/BROJ RAZREDA</w:t>
            </w:r>
          </w:p>
        </w:tc>
        <w:tc>
          <w:tcPr>
            <w:tcW w:w="2492" w:type="dxa"/>
          </w:tcPr>
          <w:p w:rsidR="00F70D81" w:rsidRPr="00F70D81" w:rsidRDefault="00AF06BD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  <w:r w:rsidR="00F70D8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492" w:type="dxa"/>
          </w:tcPr>
          <w:p w:rsidR="00F70D81" w:rsidRPr="00F70D81" w:rsidRDefault="00AF06BD" w:rsidP="00AF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550FF">
              <w:rPr>
                <w:sz w:val="16"/>
                <w:szCs w:val="16"/>
              </w:rPr>
              <w:t>5</w:t>
            </w:r>
            <w:r w:rsidR="002F550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492" w:type="dxa"/>
          </w:tcPr>
          <w:p w:rsidR="00F70D81" w:rsidRPr="00F70D81" w:rsidRDefault="002F5503" w:rsidP="00AF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06B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/1</w:t>
            </w:r>
            <w:r w:rsidR="00AF06BD">
              <w:rPr>
                <w:sz w:val="16"/>
                <w:szCs w:val="16"/>
              </w:rPr>
              <w:t>9</w:t>
            </w:r>
          </w:p>
        </w:tc>
      </w:tr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ZAPOSLENIH</w:t>
            </w:r>
          </w:p>
        </w:tc>
        <w:tc>
          <w:tcPr>
            <w:tcW w:w="2492" w:type="dxa"/>
          </w:tcPr>
          <w:p w:rsidR="00F70D81" w:rsidRPr="00F70D81" w:rsidRDefault="00F70D81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492" w:type="dxa"/>
          </w:tcPr>
          <w:p w:rsidR="00F70D81" w:rsidRPr="00F70D81" w:rsidRDefault="002F5503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492" w:type="dxa"/>
          </w:tcPr>
          <w:p w:rsidR="00F70D81" w:rsidRPr="00F70D81" w:rsidRDefault="002F5503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</w:tbl>
    <w:p w:rsidR="00F70D81" w:rsidRDefault="00F70D81" w:rsidP="00F70D81">
      <w:pPr>
        <w:jc w:val="both"/>
      </w:pPr>
    </w:p>
    <w:p w:rsidR="008777A9" w:rsidRDefault="008777A9" w:rsidP="008777A9">
      <w:pPr>
        <w:ind w:left="360"/>
        <w:jc w:val="both"/>
      </w:pPr>
    </w:p>
    <w:p w:rsidR="008777A9" w:rsidRDefault="008777A9" w:rsidP="008777A9">
      <w:pPr>
        <w:ind w:left="360"/>
        <w:jc w:val="both"/>
      </w:pPr>
    </w:p>
    <w:p w:rsidR="008777A9" w:rsidRPr="00FB127D" w:rsidRDefault="008777A9" w:rsidP="008777A9">
      <w:pPr>
        <w:jc w:val="both"/>
        <w:rPr>
          <w:b/>
        </w:rPr>
      </w:pPr>
      <w:r>
        <w:rPr>
          <w:b/>
        </w:rPr>
        <w:t>5.</w:t>
      </w:r>
      <w:r w:rsidR="00B837B8">
        <w:rPr>
          <w:b/>
        </w:rPr>
        <w:t>1.</w:t>
      </w:r>
      <w:r w:rsidRPr="00FB127D">
        <w:rPr>
          <w:b/>
        </w:rPr>
        <w:t xml:space="preserve">Okviri za izradu planova su </w:t>
      </w:r>
    </w:p>
    <w:p w:rsidR="008777A9" w:rsidRDefault="008777A9" w:rsidP="008777A9">
      <w:pPr>
        <w:ind w:left="720"/>
        <w:jc w:val="both"/>
      </w:pPr>
    </w:p>
    <w:p w:rsidR="008777A9" w:rsidRDefault="008777A9" w:rsidP="008777A9">
      <w:pPr>
        <w:numPr>
          <w:ilvl w:val="0"/>
          <w:numId w:val="1"/>
        </w:numPr>
        <w:jc w:val="both"/>
      </w:pPr>
      <w:r>
        <w:t>Godišnji izvedbeni odgojno – obrazovni plan i pro</w:t>
      </w:r>
      <w:r w:rsidR="00387FD5">
        <w:t>gram rada za školsku godinu 202</w:t>
      </w:r>
      <w:r w:rsidR="003A1BD8">
        <w:t>3</w:t>
      </w:r>
      <w:r>
        <w:t>./202</w:t>
      </w:r>
      <w:r w:rsidR="003A1BD8">
        <w:t>4</w:t>
      </w:r>
      <w:r>
        <w:t>. (skraćeno:GPP)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 xml:space="preserve">Školski kurikulum Osnovne škole Ivana Gorana Kovačića St.Pet.Selo, nastavne i izvannastavne </w:t>
      </w:r>
      <w:r w:rsidR="00237460">
        <w:t>ak</w:t>
      </w:r>
      <w:r w:rsidR="003A1BD8">
        <w:t>t</w:t>
      </w:r>
      <w:r w:rsidR="00237460">
        <w:t>ivnosti za školsku godinu 202</w:t>
      </w:r>
      <w:r w:rsidR="003A1BD8">
        <w:t>3</w:t>
      </w:r>
      <w:r>
        <w:t>./202</w:t>
      </w:r>
      <w:r w:rsidR="003A1BD8">
        <w:t>4</w:t>
      </w:r>
      <w: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  <w:r>
        <w:t>Vezano uz navedeno vrijede napomene: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Uputama za izradu proračuna utvrđeni su indeksi rashoda kao u prethodnoj godini koji se financiraju prema minimalnim standardima čime su usklađene i projekcije prihoda dane prethodne godine. Pridržavanje nekih indeks</w:t>
      </w:r>
      <w:r w:rsidR="00A06F51">
        <w:t>a</w:t>
      </w:r>
      <w:r>
        <w:t xml:space="preserve"> rasta</w:t>
      </w:r>
      <w:r w:rsidR="00387FD5">
        <w:t>/smanjenja</w:t>
      </w:r>
      <w:r w:rsidR="008628CC">
        <w:t xml:space="preserve"> </w:t>
      </w:r>
      <w:r w:rsidR="00A06F51">
        <w:t>tijekom godine može odstupati od realnih potreba zbog izmjena u planiranju koje su nastale nakon izrade ovakvog plana, na primjer to su pregovori o visini osnovice za izračun plaće te nagla promjenjivost cijena roba i usluga te izmjene ugovora s financijskim reperkusijama.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škole izrađuju programske planove za školsku, a ne fiskalnu godinu, čime se otežava  planiranje i pravilna realizacija financijskih planova. Na primjer, izlet svih učenika škole je u GPP-u svake godine, no može se  realizirati, ovisno o vremenskim i ostalim prilikama, početkom školske godine, tj. u jesen tekuće godine, ili u drugom polugodištu, što znači u proljeće iste školske godine, ali druge proračunske godine. Navedeno su glavni razlozi odstupanja planiranja i realizacije financijskog plana (posebno u grupama troškova službenog puta, dnevnice svim nastavnicima.., trošku  usluge prijevoza za učenika i dr.),  a često su i uzrok preraspodjele novca krajem godine.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također, pri izradi planova za  narednu godinu još ne znamo obim domaćinstava natjecanja ili stručnih skupova, te ni ne planiramo troškove vezane uz tu aktivnost.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 xml:space="preserve">Ove napomene su od posebnog značaja  pri davanju </w:t>
      </w:r>
      <w:r w:rsidRPr="00480E42">
        <w:rPr>
          <w:b/>
        </w:rPr>
        <w:t>Izjave o fiskalnoj odgovornosti</w:t>
      </w:r>
      <w:r>
        <w:rPr>
          <w:b/>
        </w:rPr>
        <w:t xml:space="preserve">, odgovori  u Upitniku </w:t>
      </w:r>
      <w:r w:rsidRPr="00EA5170">
        <w:t>vezan</w:t>
      </w:r>
      <w:r>
        <w:t>i</w:t>
      </w:r>
      <w:r w:rsidR="008628CC">
        <w:t xml:space="preserve"> </w:t>
      </w:r>
      <w:r w:rsidRPr="00EA5170">
        <w:t>uz</w:t>
      </w:r>
      <w:r w:rsidR="008628CC">
        <w:t xml:space="preserve"> </w:t>
      </w:r>
      <w:r w:rsidRPr="00EA5170">
        <w:t>pitanja o</w:t>
      </w:r>
      <w:r>
        <w:rPr>
          <w:b/>
        </w:rPr>
        <w:t xml:space="preserve"> „</w:t>
      </w:r>
      <w:r w:rsidRPr="00EA5170">
        <w:t xml:space="preserve">zakonskom i namjenskom korištenje sredstava  te funkcioniranju sustava financijskog upravljanja u </w:t>
      </w:r>
      <w:r w:rsidRPr="00EA5170">
        <w:rPr>
          <w:b/>
        </w:rPr>
        <w:t>okviru financijskim</w:t>
      </w:r>
      <w:r>
        <w:rPr>
          <w:b/>
        </w:rPr>
        <w:t xml:space="preserve"> planom utvrđenih sredstava“</w:t>
      </w:r>
      <w:r>
        <w:t xml:space="preserve">. </w:t>
      </w:r>
    </w:p>
    <w:p w:rsidR="008777A9" w:rsidRDefault="008777A9" w:rsidP="008777A9">
      <w:pPr>
        <w:jc w:val="both"/>
      </w:pPr>
    </w:p>
    <w:p w:rsidR="008777A9" w:rsidRDefault="008777A9" w:rsidP="008777A9">
      <w:pPr>
        <w:ind w:left="708"/>
        <w:jc w:val="both"/>
        <w:rPr>
          <w:b/>
        </w:rPr>
      </w:pPr>
    </w:p>
    <w:p w:rsidR="008777A9" w:rsidRPr="003C3A4D" w:rsidRDefault="008777A9" w:rsidP="008777A9">
      <w:pPr>
        <w:jc w:val="both"/>
      </w:pPr>
      <w:r>
        <w:rPr>
          <w:b/>
        </w:rPr>
        <w:t xml:space="preserve">Prihodi iz državnoga proračuna </w:t>
      </w:r>
      <w:r w:rsidRPr="0078667D">
        <w:t>nisu planiran</w:t>
      </w:r>
      <w:r>
        <w:t xml:space="preserve">i isključivo u skladu s propisanim indeksom rasta za tu vrstu rashoda , jer je bilo potrebno uzeti u obzir povećanje izdataka zbog povećanja dodataka na staž (0,5% po godini staža) te </w:t>
      </w:r>
      <w:r w:rsidR="005F3B2C">
        <w:t>mogućeg</w:t>
      </w:r>
      <w:r>
        <w:t xml:space="preserve"> povećanja osnovice za obračun plaća te moguće izmjene koeficijenata</w:t>
      </w:r>
      <w:r w:rsidR="00AF06BD">
        <w:t xml:space="preserve"> </w:t>
      </w:r>
      <w:r>
        <w:t xml:space="preserve">radnog mjesta.  </w:t>
      </w:r>
      <w:r>
        <w:br/>
        <w:t>Ostali troškovi za zaposlene: Izdaci za regres, „božićnica“,  planirani su na  osnovi sadašnjeg stanja. Statistički, svake godine imamo i izdatke za pomoći za bolovan</w:t>
      </w:r>
      <w:r w:rsidR="00827FAE">
        <w:t xml:space="preserve">je duže od 90 dana, te se svake </w:t>
      </w:r>
      <w:r>
        <w:t xml:space="preserve"> godine ostvaruju i prava na jubilarne nagrade, a njihov broj ovisi o broju zaposlenih koji navrše broj godina rada potrebnih za ugovorenu isplatu, što varira. </w:t>
      </w:r>
    </w:p>
    <w:p w:rsidR="008777A9" w:rsidRDefault="008777A9" w:rsidP="008777A9">
      <w:pPr>
        <w:jc w:val="both"/>
        <w:rPr>
          <w:b/>
          <w:color w:val="FF00FF"/>
        </w:rPr>
      </w:pPr>
    </w:p>
    <w:p w:rsidR="008777A9" w:rsidRPr="00724CC8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  <w:r w:rsidRPr="00724CC8">
        <w:rPr>
          <w:b/>
        </w:rPr>
        <w:lastRenderedPageBreak/>
        <w:t>Prihodi od Županije planirani su prema kriterijima: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27FAE">
      <w:pPr>
        <w:ind w:left="720"/>
        <w:jc w:val="both"/>
      </w:pPr>
      <w:r>
        <w:t>Prihode za financiranje rashoda, koji se financiraju minimalnim standardima, planirali smo primjenom Odluka o kriterijima i mjerilima za utvrđivanje bilančnih prava za financiranje minimalnog financijskog standarda u 20</w:t>
      </w:r>
      <w:r w:rsidR="005F3B2C">
        <w:t>2</w:t>
      </w:r>
      <w:r w:rsidR="00A66738">
        <w:t>3</w:t>
      </w:r>
      <w:r>
        <w:t>. godini</w:t>
      </w:r>
    </w:p>
    <w:p w:rsidR="008777A9" w:rsidRPr="005F3936" w:rsidRDefault="008777A9" w:rsidP="008777A9">
      <w:pPr>
        <w:numPr>
          <w:ilvl w:val="0"/>
          <w:numId w:val="2"/>
        </w:numPr>
        <w:jc w:val="both"/>
        <w:rPr>
          <w:i/>
        </w:rPr>
      </w:pPr>
      <w:r>
        <w:t xml:space="preserve">Od dobivenih vrijednosti prihoda prvo smo predvidjeli „fiksne rashode“ koji se planiraju na osnovi potrošnje tekuće godine tj. troškove energije, osiguranja i pedagoške dokumentacije.  </w:t>
      </w:r>
    </w:p>
    <w:p w:rsidR="008777A9" w:rsidRDefault="008777A9" w:rsidP="008777A9">
      <w:pPr>
        <w:numPr>
          <w:ilvl w:val="0"/>
          <w:numId w:val="2"/>
        </w:numPr>
        <w:jc w:val="both"/>
      </w:pPr>
      <w:r>
        <w:t>U rashodima iz kategorije općih  troškova prvo smo planirali „obvezne„ rashode za komunalne usluge (voda, odvoz smeća., deratizacija..),  rashode za telefon, platni promet te obvezni pedagošku dokumentaciju i materijal. Nakon toga planiramo ostale troškove prema prioritetima funkcioniranja škole.</w:t>
      </w:r>
      <w:r w:rsidR="00A66738">
        <w:t xml:space="preserve"> Značajno povećanje plana bilježimo na rashodima komunalnih usluga zbog komunalne naknade prema općini koje do sada nije bilo te radi podizanja cijene naknade uređenja voda.</w:t>
      </w:r>
    </w:p>
    <w:p w:rsidR="008777A9" w:rsidRPr="00245823" w:rsidRDefault="008777A9" w:rsidP="008777A9">
      <w:pPr>
        <w:ind w:left="360"/>
        <w:jc w:val="both"/>
      </w:pPr>
    </w:p>
    <w:p w:rsidR="008777A9" w:rsidRDefault="008777A9" w:rsidP="008777A9">
      <w:pPr>
        <w:jc w:val="both"/>
      </w:pPr>
      <w:r w:rsidRPr="00245823">
        <w:rPr>
          <w:b/>
        </w:rPr>
        <w:t>Na</w:t>
      </w:r>
      <w:r w:rsidRPr="005863E0">
        <w:rPr>
          <w:b/>
        </w:rPr>
        <w:t>mjenski prihodi od sufinanciranja</w:t>
      </w:r>
      <w:r>
        <w:t xml:space="preserve"> obuhvaćaju prihode za školsku prehranu,  sufinanciranje izleta, posjeta kazalištu, ako prijevoz organizira škola.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827FAE">
        <w:rPr>
          <w:b/>
        </w:rPr>
        <w:t>6.</w:t>
      </w:r>
      <w:r>
        <w:rPr>
          <w:b/>
        </w:rPr>
        <w:t>Izvještaj o postignutim ciljevima i rezultatima programa temeljenim na pokazateljima uspješnosti u prethodnoj godini.</w:t>
      </w:r>
    </w:p>
    <w:p w:rsidR="007332AF" w:rsidRDefault="007332AF" w:rsidP="008777A9">
      <w:pPr>
        <w:jc w:val="both"/>
      </w:pPr>
    </w:p>
    <w:p w:rsidR="008777A9" w:rsidRDefault="006370CA" w:rsidP="008777A9">
      <w:pPr>
        <w:jc w:val="both"/>
      </w:pPr>
      <w:r>
        <w:t>U školskoj godini 2022</w:t>
      </w:r>
      <w:r w:rsidR="002F5503">
        <w:t>./2</w:t>
      </w:r>
      <w:r>
        <w:t>3</w:t>
      </w:r>
      <w:r w:rsidR="002550FF">
        <w:t>. nastavu je pohađalo</w:t>
      </w:r>
      <w:r w:rsidR="002D620B">
        <w:t xml:space="preserve"> uku</w:t>
      </w:r>
      <w:r>
        <w:t>pno 227 učenika ( od toga 42</w:t>
      </w:r>
      <w:r w:rsidR="002F5503">
        <w:t xml:space="preserve"> učenika u područnim školama. Matična škola u </w:t>
      </w:r>
      <w:r>
        <w:t>Starom Petrovom Selu imala je 74 učenika razredne nastave i 111</w:t>
      </w:r>
      <w:r w:rsidR="002F5503">
        <w:t xml:space="preserve"> učenika u predmetnoj nastavi.</w:t>
      </w:r>
    </w:p>
    <w:p w:rsidR="002F5503" w:rsidRDefault="002F5503" w:rsidP="008777A9">
      <w:pPr>
        <w:jc w:val="both"/>
      </w:pPr>
      <w:r>
        <w:t>U odnosu na prethodnu školsku god</w:t>
      </w:r>
      <w:r w:rsidR="00C91ED5">
        <w:t>inu</w:t>
      </w:r>
      <w:r w:rsidR="006370CA">
        <w:t>, u ovoj smo imali 8 učenika manje.</w:t>
      </w:r>
      <w:r>
        <w:t xml:space="preserve"> Na kraju školske godine </w:t>
      </w:r>
      <w:r w:rsidR="00BE7961">
        <w:t>uspjeh učenika je bio sljedeći:</w:t>
      </w:r>
      <w:r w:rsidR="006370CA">
        <w:t xml:space="preserve"> Od 116 učenika u razrednoj nastavi 44</w:t>
      </w:r>
      <w:r w:rsidR="00D21479">
        <w:t xml:space="preserve"> ih j</w:t>
      </w:r>
      <w:r w:rsidR="006370CA">
        <w:t>e prošlo s odličnim uspjehom, 36 sa vrlo dobrim,</w:t>
      </w:r>
      <w:r w:rsidR="00AF06BD">
        <w:t xml:space="preserve"> </w:t>
      </w:r>
      <w:r w:rsidR="006370CA">
        <w:t>23</w:t>
      </w:r>
      <w:r w:rsidR="00C91ED5">
        <w:t xml:space="preserve"> sa dobrim </w:t>
      </w:r>
      <w:r w:rsidR="006370CA">
        <w:t>, 3 su</w:t>
      </w:r>
      <w:r w:rsidR="003A76B3">
        <w:t xml:space="preserve"> učenik</w:t>
      </w:r>
      <w:r w:rsidR="006370CA">
        <w:t>a prešla</w:t>
      </w:r>
      <w:r w:rsidR="003A76B3">
        <w:t xml:space="preserve"> u viši razred sa negativnom</w:t>
      </w:r>
      <w:r w:rsidR="00D21479">
        <w:t xml:space="preserve"> oc</w:t>
      </w:r>
      <w:r w:rsidR="006370CA">
        <w:t>jenom,</w:t>
      </w:r>
      <w:r w:rsidR="00AF06BD">
        <w:t xml:space="preserve"> </w:t>
      </w:r>
      <w:r w:rsidR="006370CA">
        <w:t>6</w:t>
      </w:r>
      <w:r w:rsidR="005B3F62">
        <w:t xml:space="preserve"> s</w:t>
      </w:r>
      <w:r w:rsidR="006370CA">
        <w:t>a dovoljnim uspjehom a 4</w:t>
      </w:r>
      <w:r w:rsidR="003A76B3">
        <w:t xml:space="preserve"> učenika je upućeno na ponavljanje razreda.</w:t>
      </w:r>
      <w:r w:rsidR="00E644AA">
        <w:t xml:space="preserve">. U predmetnoj nastavi školsku je godinu </w:t>
      </w:r>
      <w:r w:rsidR="006370CA">
        <w:t xml:space="preserve"> 29 </w:t>
      </w:r>
      <w:r w:rsidR="003A76B3">
        <w:t>učenik</w:t>
      </w:r>
      <w:r w:rsidR="006370CA">
        <w:t>a</w:t>
      </w:r>
      <w:r w:rsidR="003A76B3">
        <w:t xml:space="preserve"> završi</w:t>
      </w:r>
      <w:r w:rsidR="006370CA">
        <w:t>l</w:t>
      </w:r>
      <w:r w:rsidR="00E644AA">
        <w:t>o</w:t>
      </w:r>
      <w:r w:rsidR="00D21479">
        <w:t xml:space="preserve"> s</w:t>
      </w:r>
      <w:r w:rsidR="00E644AA">
        <w:t>a</w:t>
      </w:r>
      <w:r w:rsidR="00D21479">
        <w:t xml:space="preserve"> odličnim uspjehom,</w:t>
      </w:r>
      <w:r w:rsidR="006370CA">
        <w:t xml:space="preserve"> 43 sa vrlo dobrim, 32</w:t>
      </w:r>
      <w:r w:rsidR="00E644AA">
        <w:t xml:space="preserve"> učenika je završilo</w:t>
      </w:r>
      <w:r w:rsidR="00D21479">
        <w:t xml:space="preserve"> razred </w:t>
      </w:r>
      <w:r w:rsidR="003B60CC">
        <w:t>sa dobrim uspjehom,</w:t>
      </w:r>
      <w:r w:rsidR="006370CA">
        <w:t xml:space="preserve"> 3 sa dovoljnim  a 3 su</w:t>
      </w:r>
      <w:r w:rsidR="00D21479">
        <w:t xml:space="preserve"> učenika upućena na ponavljanje razreda.</w:t>
      </w:r>
    </w:p>
    <w:p w:rsidR="008777A9" w:rsidRDefault="0033354F" w:rsidP="008777A9">
      <w:pPr>
        <w:jc w:val="both"/>
      </w:pPr>
      <w:r>
        <w:t xml:space="preserve">Učenici su bili uključeni u razna natjecanja i </w:t>
      </w:r>
      <w:r w:rsidR="0010142F">
        <w:t>smotre.</w:t>
      </w:r>
    </w:p>
    <w:p w:rsidR="002B54CE" w:rsidRDefault="00AE7691" w:rsidP="008777A9">
      <w:pPr>
        <w:jc w:val="both"/>
      </w:pPr>
      <w:r>
        <w:t>Na županijsku  razinu</w:t>
      </w:r>
      <w:r w:rsidR="008777A9">
        <w:t xml:space="preserve"> natjecanja </w:t>
      </w:r>
      <w:r>
        <w:t xml:space="preserve"> plasirali</w:t>
      </w:r>
      <w:r w:rsidR="008777A9">
        <w:t xml:space="preserve"> smo</w:t>
      </w:r>
      <w:r w:rsidR="00420550">
        <w:t xml:space="preserve"> se </w:t>
      </w:r>
      <w:r w:rsidR="008777A9">
        <w:t xml:space="preserve"> u ovim područjima:</w:t>
      </w:r>
      <w:r w:rsidR="007332AF">
        <w:t xml:space="preserve"> tehnička kultura, informatika, </w:t>
      </w:r>
      <w:r w:rsidR="0010142F">
        <w:t>engleski jezik,  čitanjem do zvijezda</w:t>
      </w:r>
      <w:r w:rsidR="00420550">
        <w:t>, fizika ,</w:t>
      </w:r>
    </w:p>
    <w:p w:rsidR="008777A9" w:rsidRDefault="002B54CE" w:rsidP="002B54CE">
      <w:pPr>
        <w:jc w:val="both"/>
      </w:pPr>
      <w:r>
        <w:t>Uspješno smo proveli matematičko –</w:t>
      </w:r>
      <w:r w:rsidR="00AE7691">
        <w:t xml:space="preserve"> informatičko natjecanje Dabar  </w:t>
      </w:r>
      <w:r w:rsidR="007645B2">
        <w:t>u kojem je sudjelovalo 52 učenika</w:t>
      </w:r>
    </w:p>
    <w:p w:rsidR="002B54CE" w:rsidRDefault="002B54CE" w:rsidP="002B54CE">
      <w:pPr>
        <w:jc w:val="both"/>
      </w:pPr>
    </w:p>
    <w:p w:rsidR="002B54CE" w:rsidRDefault="002B54CE" w:rsidP="002B54CE">
      <w:pPr>
        <w:jc w:val="both"/>
      </w:pPr>
      <w:r>
        <w:t>Od nacionalnih pr</w:t>
      </w:r>
      <w:r w:rsidR="003A76B3">
        <w:t>ojekata provode se Vježbaonica , Univerzalna sportska škola i Školski sportski praznici.</w:t>
      </w:r>
    </w:p>
    <w:p w:rsidR="008777A9" w:rsidRDefault="008777A9" w:rsidP="008777A9">
      <w:pPr>
        <w:jc w:val="both"/>
      </w:pPr>
      <w:r>
        <w:t>Sudjelovanje učenika na natjecanjima državne razine:</w:t>
      </w:r>
    </w:p>
    <w:p w:rsidR="007645B2" w:rsidRDefault="00420550" w:rsidP="008777A9">
      <w:pPr>
        <w:jc w:val="both"/>
      </w:pPr>
      <w:r>
        <w:t>Prometna učilica –   6</w:t>
      </w:r>
      <w:r w:rsidR="008777A9">
        <w:t xml:space="preserve"> nagrađenih učenika</w:t>
      </w:r>
      <w:r w:rsidR="007645B2">
        <w:t xml:space="preserve">, </w:t>
      </w:r>
      <w:r>
        <w:t xml:space="preserve"> 7. škola</w:t>
      </w:r>
      <w:r w:rsidR="007645B2">
        <w:t xml:space="preserve"> u Hrvatskoj</w:t>
      </w:r>
    </w:p>
    <w:p w:rsidR="00AE7691" w:rsidRDefault="00AF06BD" w:rsidP="008777A9">
      <w:pPr>
        <w:jc w:val="both"/>
      </w:pPr>
      <w:r>
        <w:t>Sigurno u prometu</w:t>
      </w:r>
      <w:r w:rsidR="00022C70">
        <w:t>,</w:t>
      </w:r>
      <w:r>
        <w:t xml:space="preserve"> </w:t>
      </w:r>
      <w:r w:rsidR="00420550">
        <w:t>1</w:t>
      </w:r>
      <w:r w:rsidR="00022C70">
        <w:t xml:space="preserve">  učenica sudjelovala</w:t>
      </w:r>
      <w:r w:rsidR="007645B2">
        <w:t xml:space="preserve"> na državnoj razini, </w:t>
      </w:r>
    </w:p>
    <w:p w:rsidR="00420550" w:rsidRDefault="00420550" w:rsidP="008777A9">
      <w:pPr>
        <w:jc w:val="both"/>
      </w:pPr>
      <w:r>
        <w:t>Vallis</w:t>
      </w:r>
      <w:r w:rsidR="008628CC">
        <w:t xml:space="preserve"> </w:t>
      </w:r>
      <w:r w:rsidR="00022C70">
        <w:t>Aurea</w:t>
      </w:r>
      <w:r w:rsidR="008628CC">
        <w:t xml:space="preserve"> </w:t>
      </w:r>
      <w:r w:rsidR="00022C70">
        <w:t xml:space="preserve">Cantat  - </w:t>
      </w:r>
      <w:r>
        <w:t>natjecanje pjevačkih zborova, srebrna plaketa</w:t>
      </w:r>
    </w:p>
    <w:p w:rsidR="00420550" w:rsidRDefault="00420550" w:rsidP="008777A9">
      <w:pPr>
        <w:jc w:val="both"/>
      </w:pPr>
      <w:r>
        <w:t>Državno natjecanje u badmintonu</w:t>
      </w:r>
    </w:p>
    <w:p w:rsidR="00022C70" w:rsidRDefault="00022C70" w:rsidP="008777A9">
      <w:pPr>
        <w:jc w:val="both"/>
      </w:pPr>
      <w:r>
        <w:t xml:space="preserve">Sudjelovanje u međunarodnom projektu  </w:t>
      </w:r>
      <w:r w:rsidR="00E63130">
        <w:t>Inovativnim umom do pametnih ICT škola</w:t>
      </w:r>
      <w:bookmarkStart w:id="0" w:name="_GoBack"/>
      <w:bookmarkEnd w:id="0"/>
    </w:p>
    <w:p w:rsidR="00AE7691" w:rsidRDefault="00420550" w:rsidP="008777A9">
      <w:pPr>
        <w:jc w:val="both"/>
      </w:pPr>
      <w:r>
        <w:t>Sudjelovanje u e-Twinning projektu</w:t>
      </w:r>
      <w:r w:rsidR="00022C70">
        <w:t xml:space="preserve"> Naša priča o gradu</w:t>
      </w:r>
    </w:p>
    <w:p w:rsidR="00022C70" w:rsidRDefault="00022C70" w:rsidP="008777A9">
      <w:pPr>
        <w:jc w:val="both"/>
      </w:pPr>
      <w:r>
        <w:t>Sudjelovanje u međuškolskom projektu: U ozračju bajke</w:t>
      </w:r>
    </w:p>
    <w:p w:rsidR="00C54A1C" w:rsidRDefault="00C54A1C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  <w:r>
        <w:t xml:space="preserve">Voditelj računovodstva:        </w:t>
      </w:r>
      <w:r w:rsidR="00AF06BD">
        <w:t xml:space="preserve">                                                 </w:t>
      </w:r>
      <w:r>
        <w:t xml:space="preserve">     Ravnateljica :</w:t>
      </w:r>
    </w:p>
    <w:p w:rsidR="006B6014" w:rsidRDefault="008777A9" w:rsidP="00AF06BD">
      <w:pPr>
        <w:jc w:val="both"/>
      </w:pPr>
      <w:r>
        <w:t xml:space="preserve"> Luka Cindrić                                        </w:t>
      </w:r>
      <w:r w:rsidR="00AF06BD">
        <w:t xml:space="preserve">                              </w:t>
      </w:r>
      <w:r>
        <w:t xml:space="preserve">        Zrinka Dejanovi</w:t>
      </w:r>
      <w:r w:rsidR="00AF06BD">
        <w:t>ć</w:t>
      </w:r>
    </w:p>
    <w:sectPr w:rsidR="006B6014" w:rsidSect="00DA1C9A">
      <w:footerReference w:type="default" r:id="rId9"/>
      <w:pgSz w:w="11906" w:h="16838"/>
      <w:pgMar w:top="1418" w:right="794" w:bottom="1134" w:left="136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07" w:rsidRDefault="00F13307" w:rsidP="00814C26">
      <w:r>
        <w:separator/>
      </w:r>
    </w:p>
  </w:endnote>
  <w:endnote w:type="continuationSeparator" w:id="1">
    <w:p w:rsidR="00F13307" w:rsidRDefault="00F13307" w:rsidP="0081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82" w:rsidRPr="00DA1C9A" w:rsidRDefault="005C1682">
    <w:pPr>
      <w:pStyle w:val="Podnoje"/>
      <w:rPr>
        <w:sz w:val="18"/>
        <w:szCs w:val="18"/>
      </w:rPr>
    </w:pPr>
    <w:r>
      <w:rPr>
        <w:sz w:val="18"/>
        <w:szCs w:val="18"/>
      </w:rPr>
      <w:t>Financijski plan 202</w:t>
    </w:r>
    <w:r w:rsidR="00433782">
      <w:rPr>
        <w:sz w:val="18"/>
        <w:szCs w:val="18"/>
      </w:rPr>
      <w:t>4</w:t>
    </w:r>
    <w:r w:rsidR="00202CDB">
      <w:rPr>
        <w:sz w:val="18"/>
        <w:szCs w:val="18"/>
      </w:rPr>
      <w:t>.-202</w:t>
    </w:r>
    <w:r w:rsidR="00433782">
      <w:rPr>
        <w:sz w:val="18"/>
        <w:szCs w:val="18"/>
      </w:rPr>
      <w:t>6</w:t>
    </w:r>
    <w:r w:rsidR="00741C33">
      <w:rPr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07" w:rsidRDefault="00F13307" w:rsidP="00814C26">
      <w:r>
        <w:separator/>
      </w:r>
    </w:p>
  </w:footnote>
  <w:footnote w:type="continuationSeparator" w:id="1">
    <w:p w:rsidR="00F13307" w:rsidRDefault="00F13307" w:rsidP="00814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F5"/>
    <w:multiLevelType w:val="hybridMultilevel"/>
    <w:tmpl w:val="DDA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72554"/>
    <w:multiLevelType w:val="hybridMultilevel"/>
    <w:tmpl w:val="7AD6D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7EE5"/>
    <w:multiLevelType w:val="hybridMultilevel"/>
    <w:tmpl w:val="BA58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D3629"/>
    <w:multiLevelType w:val="hybridMultilevel"/>
    <w:tmpl w:val="1FEE7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7A9"/>
    <w:rsid w:val="00005B23"/>
    <w:rsid w:val="00007DF6"/>
    <w:rsid w:val="00022C70"/>
    <w:rsid w:val="0007072A"/>
    <w:rsid w:val="000918E2"/>
    <w:rsid w:val="000A3CD1"/>
    <w:rsid w:val="000A5911"/>
    <w:rsid w:val="000C0564"/>
    <w:rsid w:val="000D4752"/>
    <w:rsid w:val="0010142F"/>
    <w:rsid w:val="00110A25"/>
    <w:rsid w:val="00126C73"/>
    <w:rsid w:val="00136A29"/>
    <w:rsid w:val="00165F19"/>
    <w:rsid w:val="00180E0D"/>
    <w:rsid w:val="001B089F"/>
    <w:rsid w:val="001C4F9A"/>
    <w:rsid w:val="001E4F08"/>
    <w:rsid w:val="00202CDB"/>
    <w:rsid w:val="00237460"/>
    <w:rsid w:val="002550FF"/>
    <w:rsid w:val="0027300B"/>
    <w:rsid w:val="00295E19"/>
    <w:rsid w:val="002B54CE"/>
    <w:rsid w:val="002D08F0"/>
    <w:rsid w:val="002D0E54"/>
    <w:rsid w:val="002D620B"/>
    <w:rsid w:val="002D72FB"/>
    <w:rsid w:val="002F5503"/>
    <w:rsid w:val="00301E2C"/>
    <w:rsid w:val="00312E3B"/>
    <w:rsid w:val="00322703"/>
    <w:rsid w:val="0033354F"/>
    <w:rsid w:val="003623AC"/>
    <w:rsid w:val="0037538A"/>
    <w:rsid w:val="00385D61"/>
    <w:rsid w:val="00387FD5"/>
    <w:rsid w:val="003917D5"/>
    <w:rsid w:val="003A1BD8"/>
    <w:rsid w:val="003A76B3"/>
    <w:rsid w:val="003B60CC"/>
    <w:rsid w:val="003B65CE"/>
    <w:rsid w:val="00420550"/>
    <w:rsid w:val="00433782"/>
    <w:rsid w:val="0049581F"/>
    <w:rsid w:val="004A547D"/>
    <w:rsid w:val="004F67B3"/>
    <w:rsid w:val="004F6B19"/>
    <w:rsid w:val="00523399"/>
    <w:rsid w:val="00530F62"/>
    <w:rsid w:val="00581670"/>
    <w:rsid w:val="00590404"/>
    <w:rsid w:val="005B3F62"/>
    <w:rsid w:val="005B42BA"/>
    <w:rsid w:val="005C1682"/>
    <w:rsid w:val="005F19D7"/>
    <w:rsid w:val="005F3B2C"/>
    <w:rsid w:val="00616B56"/>
    <w:rsid w:val="006370CA"/>
    <w:rsid w:val="006466D9"/>
    <w:rsid w:val="00677A14"/>
    <w:rsid w:val="0068095A"/>
    <w:rsid w:val="00684A6A"/>
    <w:rsid w:val="00686D27"/>
    <w:rsid w:val="006B1D17"/>
    <w:rsid w:val="006B6014"/>
    <w:rsid w:val="006E22F6"/>
    <w:rsid w:val="006F0DE1"/>
    <w:rsid w:val="006F3CC9"/>
    <w:rsid w:val="00716DBF"/>
    <w:rsid w:val="0072580A"/>
    <w:rsid w:val="007332AF"/>
    <w:rsid w:val="007344D3"/>
    <w:rsid w:val="00741C33"/>
    <w:rsid w:val="007645B2"/>
    <w:rsid w:val="00782DD2"/>
    <w:rsid w:val="007C07B4"/>
    <w:rsid w:val="007C0F03"/>
    <w:rsid w:val="007E33AD"/>
    <w:rsid w:val="00814C26"/>
    <w:rsid w:val="0082672E"/>
    <w:rsid w:val="00827FAE"/>
    <w:rsid w:val="00832B27"/>
    <w:rsid w:val="00834306"/>
    <w:rsid w:val="008442FE"/>
    <w:rsid w:val="008628CC"/>
    <w:rsid w:val="00862C92"/>
    <w:rsid w:val="008777A9"/>
    <w:rsid w:val="008A0FC8"/>
    <w:rsid w:val="008C1966"/>
    <w:rsid w:val="00901CD9"/>
    <w:rsid w:val="0093128E"/>
    <w:rsid w:val="00941746"/>
    <w:rsid w:val="009846F8"/>
    <w:rsid w:val="0099592F"/>
    <w:rsid w:val="009A492F"/>
    <w:rsid w:val="009B66AB"/>
    <w:rsid w:val="00A06F51"/>
    <w:rsid w:val="00A12646"/>
    <w:rsid w:val="00A4311B"/>
    <w:rsid w:val="00A46513"/>
    <w:rsid w:val="00A66738"/>
    <w:rsid w:val="00A70E5A"/>
    <w:rsid w:val="00A848E8"/>
    <w:rsid w:val="00AE67E0"/>
    <w:rsid w:val="00AE7691"/>
    <w:rsid w:val="00AF06BD"/>
    <w:rsid w:val="00B72384"/>
    <w:rsid w:val="00B8254D"/>
    <w:rsid w:val="00B837B8"/>
    <w:rsid w:val="00B87EB0"/>
    <w:rsid w:val="00B914A2"/>
    <w:rsid w:val="00B97AFB"/>
    <w:rsid w:val="00BA02C2"/>
    <w:rsid w:val="00BA19E2"/>
    <w:rsid w:val="00BE7961"/>
    <w:rsid w:val="00C457C2"/>
    <w:rsid w:val="00C54A1C"/>
    <w:rsid w:val="00C572B6"/>
    <w:rsid w:val="00C70D0B"/>
    <w:rsid w:val="00C843F5"/>
    <w:rsid w:val="00C91ED5"/>
    <w:rsid w:val="00CE0B80"/>
    <w:rsid w:val="00CF44B9"/>
    <w:rsid w:val="00CF7CFB"/>
    <w:rsid w:val="00D01E4E"/>
    <w:rsid w:val="00D21479"/>
    <w:rsid w:val="00D270C2"/>
    <w:rsid w:val="00D27795"/>
    <w:rsid w:val="00D710EA"/>
    <w:rsid w:val="00D91C78"/>
    <w:rsid w:val="00DA2717"/>
    <w:rsid w:val="00DB0ACC"/>
    <w:rsid w:val="00DB19FA"/>
    <w:rsid w:val="00DB5A40"/>
    <w:rsid w:val="00DC584F"/>
    <w:rsid w:val="00E03D94"/>
    <w:rsid w:val="00E16A03"/>
    <w:rsid w:val="00E26A84"/>
    <w:rsid w:val="00E31B88"/>
    <w:rsid w:val="00E426FB"/>
    <w:rsid w:val="00E63130"/>
    <w:rsid w:val="00E644AA"/>
    <w:rsid w:val="00E67A54"/>
    <w:rsid w:val="00E80926"/>
    <w:rsid w:val="00E87299"/>
    <w:rsid w:val="00E91EB7"/>
    <w:rsid w:val="00EB1E65"/>
    <w:rsid w:val="00EE4920"/>
    <w:rsid w:val="00EF51B8"/>
    <w:rsid w:val="00F13307"/>
    <w:rsid w:val="00F1460B"/>
    <w:rsid w:val="00F70D81"/>
    <w:rsid w:val="00FC665B"/>
    <w:rsid w:val="00FD2BC2"/>
    <w:rsid w:val="00FD3CBB"/>
    <w:rsid w:val="00FE39CA"/>
    <w:rsid w:val="00FE4B7F"/>
    <w:rsid w:val="00FE706D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77A9"/>
    <w:pPr>
      <w:keepNext/>
      <w:outlineLvl w:val="0"/>
    </w:pPr>
    <w:rPr>
      <w:rFonts w:ascii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77A9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777A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7A9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0D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A2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7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7">
    <w:name w:val="A7"/>
    <w:uiPriority w:val="99"/>
    <w:rsid w:val="00A12646"/>
    <w:rPr>
      <w:i/>
      <w:iCs/>
      <w:color w:val="000000"/>
      <w:sz w:val="26"/>
      <w:szCs w:val="26"/>
    </w:rPr>
  </w:style>
  <w:style w:type="paragraph" w:styleId="Odlomakpopisa">
    <w:name w:val="List Paragraph"/>
    <w:basedOn w:val="Normal"/>
    <w:uiPriority w:val="34"/>
    <w:qFormat/>
    <w:rsid w:val="00D27795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27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gkovacic-staropetrovoselo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7A2E-CEE8-410C-A6D0-8D43CB50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10</cp:revision>
  <cp:lastPrinted>2022-12-23T06:43:00Z</cp:lastPrinted>
  <dcterms:created xsi:type="dcterms:W3CDTF">2023-11-08T08:14:00Z</dcterms:created>
  <dcterms:modified xsi:type="dcterms:W3CDTF">2023-12-15T07:58:00Z</dcterms:modified>
</cp:coreProperties>
</file>